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066687" w:rsidRPr="000C7820" w:rsidTr="0071414B">
        <w:tc>
          <w:tcPr>
            <w:tcW w:w="1843" w:type="dxa"/>
            <w:vMerge w:val="restart"/>
            <w:vAlign w:val="center"/>
          </w:tcPr>
          <w:p w:rsidR="00066687" w:rsidRPr="000C7820" w:rsidRDefault="00066687" w:rsidP="0071414B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3FF37D52" wp14:editId="7B1B935E">
                  <wp:extent cx="1076325" cy="1047750"/>
                  <wp:effectExtent l="19050" t="0" r="9525" b="0"/>
                  <wp:docPr id="16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066687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066687" w:rsidRPr="000C7820" w:rsidRDefault="00066687" w:rsidP="0006668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LPM-STKIPMABDYA/SPMI/STD.25</w:t>
            </w:r>
          </w:p>
        </w:tc>
      </w:tr>
      <w:tr w:rsidR="00066687" w:rsidRPr="000C7820" w:rsidTr="0071414B">
        <w:tc>
          <w:tcPr>
            <w:tcW w:w="1843" w:type="dxa"/>
            <w:vMerge/>
            <w:vAlign w:val="center"/>
          </w:tcPr>
          <w:p w:rsidR="00066687" w:rsidRPr="000C7820" w:rsidRDefault="00066687" w:rsidP="00714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66687" w:rsidRPr="000C7820" w:rsidRDefault="00066687" w:rsidP="00714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66687" w:rsidRPr="00610934" w:rsidRDefault="00066687" w:rsidP="0071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 w:rsidR="00610934"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066687" w:rsidRPr="000C7820" w:rsidTr="0071414B">
        <w:tc>
          <w:tcPr>
            <w:tcW w:w="1843" w:type="dxa"/>
            <w:vMerge/>
            <w:vAlign w:val="center"/>
          </w:tcPr>
          <w:p w:rsidR="00066687" w:rsidRPr="000C7820" w:rsidRDefault="00066687" w:rsidP="00714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66687" w:rsidRPr="00393B6E" w:rsidRDefault="00066687" w:rsidP="00066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AIK</w:t>
            </w:r>
          </w:p>
        </w:tc>
        <w:tc>
          <w:tcPr>
            <w:tcW w:w="4678" w:type="dxa"/>
            <w:vAlign w:val="center"/>
          </w:tcPr>
          <w:p w:rsidR="00066687" w:rsidRPr="000C7820" w:rsidRDefault="00066687" w:rsidP="00714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066687" w:rsidRPr="000C7820" w:rsidTr="0071414B">
        <w:tc>
          <w:tcPr>
            <w:tcW w:w="1843" w:type="dxa"/>
            <w:vMerge/>
            <w:vAlign w:val="center"/>
          </w:tcPr>
          <w:p w:rsidR="00066687" w:rsidRPr="000C7820" w:rsidRDefault="00066687" w:rsidP="00714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66687" w:rsidRPr="000C7820" w:rsidRDefault="00066687" w:rsidP="007141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066687" w:rsidRPr="00610934" w:rsidRDefault="00066687" w:rsidP="0071414B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 w:rsidR="00610934">
              <w:rPr>
                <w:rFonts w:ascii="Arial" w:hAnsi="Arial" w:cs="Arial"/>
                <w:sz w:val="24"/>
                <w:szCs w:val="24"/>
              </w:rPr>
              <w:t>1 dari 7</w:t>
            </w:r>
          </w:p>
        </w:tc>
      </w:tr>
    </w:tbl>
    <w:p w:rsidR="00483425" w:rsidRPr="000C7820" w:rsidRDefault="00483425" w:rsidP="00DA3852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483425" w:rsidRPr="00F7541E" w:rsidRDefault="0007639A" w:rsidP="0073726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lang w:val="en-US"/>
        </w:rPr>
        <w:t>STANDAR AIK</w:t>
      </w:r>
    </w:p>
    <w:p w:rsidR="00092942" w:rsidRPr="000C7820" w:rsidRDefault="00092942" w:rsidP="00DA3852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483425" w:rsidRPr="000C7820" w:rsidRDefault="00483425" w:rsidP="00DA3852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>
            <wp:extent cx="1809750" cy="1676400"/>
            <wp:effectExtent l="19050" t="0" r="0" b="0"/>
            <wp:docPr id="3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25" w:rsidRPr="000C7820" w:rsidRDefault="00483425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E27243" w:rsidRPr="000C7820" w:rsidRDefault="00E27243" w:rsidP="00DA3852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483425" w:rsidRPr="000C7820" w:rsidTr="00B445B4">
        <w:tc>
          <w:tcPr>
            <w:tcW w:w="2125" w:type="dxa"/>
            <w:vMerge w:val="restart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483425" w:rsidRPr="000C7820" w:rsidTr="00B445B4">
        <w:tc>
          <w:tcPr>
            <w:tcW w:w="2125" w:type="dxa"/>
            <w:vMerge/>
            <w:vAlign w:val="center"/>
          </w:tcPr>
          <w:p w:rsidR="00483425" w:rsidRPr="000C7820" w:rsidRDefault="00483425" w:rsidP="00E27243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483425" w:rsidRPr="000C7820" w:rsidRDefault="00483425" w:rsidP="00E2724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084283" w:rsidRPr="00B445B4" w:rsidRDefault="00B445B4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4283" w:rsidRPr="000C7820" w:rsidTr="00B445B4">
        <w:tc>
          <w:tcPr>
            <w:tcW w:w="2125" w:type="dxa"/>
            <w:vAlign w:val="center"/>
          </w:tcPr>
          <w:p w:rsidR="00084283" w:rsidRPr="000C7820" w:rsidRDefault="00084283" w:rsidP="0008428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084283" w:rsidRPr="000C7820" w:rsidRDefault="00084283" w:rsidP="0008428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B445B4">
        <w:tc>
          <w:tcPr>
            <w:tcW w:w="2125" w:type="dxa"/>
            <w:vAlign w:val="center"/>
          </w:tcPr>
          <w:p w:rsidR="00B445B4" w:rsidRPr="000C7820" w:rsidRDefault="00B445B4" w:rsidP="00B445B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B445B4" w:rsidRPr="00B445B4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B445B4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C1706" w:rsidRPr="000C7820" w:rsidRDefault="001C1706" w:rsidP="00DA3852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E27243" w:rsidRPr="00B54DAE" w:rsidTr="00AA1E91">
        <w:tc>
          <w:tcPr>
            <w:tcW w:w="2802" w:type="dxa"/>
          </w:tcPr>
          <w:p w:rsidR="00E27243" w:rsidRPr="00B54DAE" w:rsidRDefault="001C1706" w:rsidP="00CF08F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="00CF08FB"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br w:type="page"/>
              <w:t xml:space="preserve">Visi dan </w:t>
            </w:r>
            <w:r w:rsidR="00E27243"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E27243" w:rsidRPr="00B54DAE" w:rsidRDefault="001C1706" w:rsidP="004E7C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1C1706" w:rsidRPr="00B54DAE" w:rsidRDefault="004E7C1D" w:rsidP="004E7C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B54DAE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4E7C1D" w:rsidRPr="00B54DAE" w:rsidRDefault="004E7C1D" w:rsidP="004E7C1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7C1D" w:rsidRPr="00B54DAE" w:rsidRDefault="004E7C1D" w:rsidP="004E7C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4E7C1D" w:rsidRPr="00B54DAE" w:rsidRDefault="004E7C1D" w:rsidP="004E7C1D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Menyelenggarakan pendidikan dan pengajaran yang </w:t>
            </w:r>
            <w:r w:rsidRPr="007B317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bermutu, berbasis Islam</w:t>
            </w: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untuk menghasilkan tenaga kependidikan yang unggul, kompetitif dan professional.</w:t>
            </w:r>
          </w:p>
          <w:p w:rsidR="004E7C1D" w:rsidRPr="00B54DAE" w:rsidRDefault="004E7C1D" w:rsidP="006D30D8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4E7C1D" w:rsidRPr="00B54DAE" w:rsidRDefault="004E7C1D" w:rsidP="004E7C1D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E27243" w:rsidRPr="00B54DAE" w:rsidTr="00AA1E91">
        <w:tc>
          <w:tcPr>
            <w:tcW w:w="2802" w:type="dxa"/>
          </w:tcPr>
          <w:p w:rsidR="00E27243" w:rsidRPr="00B54DAE" w:rsidRDefault="00092942" w:rsidP="009B66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Rasionale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825469" w:rsidRPr="006D30D8" w:rsidRDefault="006D30D8" w:rsidP="007009BD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  Muhammadiyah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adalah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sistem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Islam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modern  yang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integratif-holistik,  berupa  sekolah  umum  yang  mengintegrasikan  ilmu-ilmu  agama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Islam,  dan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madrasah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yang  mengintegrasikan  ilmu-ilmu  umum.  Ciri  utama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Muhammadiyah 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 dan   sekaligus   merupakan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keunggulannya   ialah   diajarkannya   </w:t>
            </w:r>
            <w:r w:rsidR="007009B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Al-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Islam   Kemuh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ammadiyahan (AIK)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yang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merupakan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ciri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khusus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dan    keunggulan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sekolah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dan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madrasah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Muhammadiyah. Sekolah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dan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Madrasah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Muhammadiyah dengan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sistem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Pendidikan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y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ang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integratif-holistik,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diharapkan menghasilkan lulusan yang menguasai ilmu pengetahuan umum dan agama</w:t>
            </w:r>
            <w:r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="007009BD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Islam serta </w:t>
            </w:r>
            <w:r w:rsidRPr="006D30D8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Kemuhmammadiyahan dengan baik.</w:t>
            </w:r>
          </w:p>
        </w:tc>
      </w:tr>
      <w:tr w:rsidR="004E7C1D" w:rsidRPr="00B54DAE" w:rsidTr="00AA1E91">
        <w:tc>
          <w:tcPr>
            <w:tcW w:w="2802" w:type="dxa"/>
          </w:tcPr>
          <w:p w:rsidR="004E7C1D" w:rsidRPr="00B54DAE" w:rsidRDefault="00092942" w:rsidP="00F34C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Pihak yang Bertanggungjawab untuk Mencapai Isi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CF08FB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Ketua </w:t>
            </w:r>
            <w:r w:rsidR="00AA1E91" w:rsidRPr="00B54DAE">
              <w:rPr>
                <w:rFonts w:ascii="Arial" w:hAnsi="Arial" w:cs="Arial"/>
                <w:sz w:val="24"/>
                <w:szCs w:val="24"/>
                <w:lang w:val="en-US"/>
              </w:rPr>
              <w:t>STKI</w:t>
            </w:r>
            <w:r w:rsidR="00084283" w:rsidRPr="00B54DAE">
              <w:rPr>
                <w:rFonts w:ascii="Arial" w:hAnsi="Arial" w:cs="Arial"/>
                <w:sz w:val="24"/>
                <w:szCs w:val="24"/>
                <w:lang w:val="en-US"/>
              </w:rPr>
              <w:t>P Muhammadiyah Aceh Barat Daya</w:t>
            </w:r>
          </w:p>
          <w:p w:rsidR="00DB178D" w:rsidRPr="00B54DAE" w:rsidRDefault="00DB178D" w:rsidP="00DB178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Wakil Ketua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STKIP Muhammadiyah Aceh Barat Daya</w:t>
            </w:r>
          </w:p>
          <w:p w:rsidR="008F12AD" w:rsidRPr="008F12AD" w:rsidRDefault="008F12A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Program Studi</w:t>
            </w:r>
          </w:p>
          <w:p w:rsidR="00E8018B" w:rsidRPr="00DB178D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LPM</w:t>
            </w:r>
          </w:p>
          <w:p w:rsidR="00DB178D" w:rsidRPr="002269DF" w:rsidRDefault="00DB178D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LPPM</w:t>
            </w:r>
          </w:p>
          <w:p w:rsidR="002269DF" w:rsidRPr="00B54DAE" w:rsidRDefault="002269DF" w:rsidP="00C4318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Semua Unit Pelaksana Teknis (UPT)</w:t>
            </w:r>
          </w:p>
        </w:tc>
      </w:tr>
      <w:tr w:rsidR="00762B5B" w:rsidRPr="00B54DAE" w:rsidTr="00AA1E91">
        <w:tc>
          <w:tcPr>
            <w:tcW w:w="2802" w:type="dxa"/>
          </w:tcPr>
          <w:p w:rsidR="00762B5B" w:rsidRPr="00B54DAE" w:rsidRDefault="00762B5B" w:rsidP="00762B5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762B5B" w:rsidRDefault="00762B5B" w:rsidP="006E58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459" w:hanging="284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2B5B">
              <w:rPr>
                <w:rFonts w:ascii="Arial" w:eastAsia="Calibri" w:hAnsi="Arial" w:cs="Arial"/>
                <w:sz w:val="24"/>
                <w:szCs w:val="24"/>
              </w:rPr>
              <w:t xml:space="preserve">Pendidikan diartikan sebagai usaha dan </w:t>
            </w:r>
            <w:r w:rsidRPr="00762B5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proses transfer of values</w:t>
            </w:r>
            <w:r w:rsidRPr="00762B5B">
              <w:rPr>
                <w:rFonts w:ascii="Arial" w:eastAsia="Calibri" w:hAnsi="Arial" w:cs="Arial"/>
                <w:sz w:val="24"/>
                <w:szCs w:val="24"/>
              </w:rPr>
              <w:t xml:space="preserve"> dan </w:t>
            </w:r>
            <w:r w:rsidRPr="00762B5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knowledge</w:t>
            </w:r>
            <w:r w:rsidRPr="00762B5B">
              <w:rPr>
                <w:rFonts w:ascii="Arial" w:eastAsia="Calibri" w:hAnsi="Arial" w:cs="Arial"/>
                <w:sz w:val="24"/>
                <w:szCs w:val="24"/>
              </w:rPr>
              <w:t xml:space="preserve"> yang dilakukan secara sadar dan terprogram dari pihak pendidik kepada civitas akademika </w:t>
            </w:r>
          </w:p>
          <w:p w:rsidR="00762B5B" w:rsidRPr="00762B5B" w:rsidRDefault="00762B5B" w:rsidP="006E58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459" w:hanging="284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2B5B">
              <w:rPr>
                <w:rFonts w:ascii="Arial" w:eastAsia="Calibri" w:hAnsi="Arial" w:cs="Arial"/>
                <w:sz w:val="24"/>
                <w:szCs w:val="24"/>
              </w:rPr>
              <w:t>Al-Islam dan Kemuhammadiyahan (AIK) adalah bidang studi dan sejumlah kegiatan terprogram berkenaan dengan pendidikan agama Islam dan Kemuhammadiyahan</w:t>
            </w:r>
          </w:p>
        </w:tc>
      </w:tr>
      <w:tr w:rsidR="00762B5B" w:rsidRPr="00B54DAE" w:rsidTr="00AA1E91">
        <w:tc>
          <w:tcPr>
            <w:tcW w:w="2802" w:type="dxa"/>
          </w:tcPr>
          <w:p w:rsidR="00762B5B" w:rsidRPr="00B54DAE" w:rsidRDefault="00762B5B" w:rsidP="00762B5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Pernyataan Isi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762B5B" w:rsidRDefault="00762B5B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Al-Quran dan Sunnah Rasulullah SAW menjadi landasan berfikir, bersikap, dan berperilaku.</w:t>
            </w:r>
          </w:p>
          <w:p w:rsidR="00762B5B" w:rsidRDefault="00762B5B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STKIP Muhammadiyah Aceh Barat Daya menolak semua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nilai yang bertentangan dengan Al-Quran dan Sunnah Rasulullah SAW.</w:t>
            </w:r>
          </w:p>
          <w:p w:rsidR="00762B5B" w:rsidRDefault="00401253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 Muhammadiyah Aceh Barat Daya menjadikan Tauhid sebagai basis nilai pengembangan sekolah tinggi.</w:t>
            </w:r>
          </w:p>
          <w:p w:rsidR="00401253" w:rsidRDefault="00401253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 Muhammadiyah Aceh Barat Daya menolak Syirik, takhayul, dan khurafat dengan segala bentuk manifestasi.</w:t>
            </w:r>
          </w:p>
          <w:p w:rsidR="00401253" w:rsidRDefault="00401253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 Muhammadiyah Aceh Barat Daya menjadikan matan keyakinan dan cita-cita hidup Muhammadiyah dan pedoman hidup Islami warga Muhammadiyah sebagai acuan sikap dan perilaku.</w:t>
            </w:r>
          </w:p>
          <w:p w:rsidR="00401253" w:rsidRDefault="00401253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adalah pribadi yang berakhlaqul karimah.</w:t>
            </w:r>
          </w:p>
          <w:p w:rsidR="00401253" w:rsidRDefault="00401253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menjadikan Nabi Muhammad SAW sebagai Uswatun Hasanah dalam kehidupan.</w:t>
            </w:r>
          </w:p>
          <w:p w:rsidR="00401253" w:rsidRDefault="00401253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SDM di STKIP Muhammadiyah Aceh Barat Daya menjadi teladan bagi </w:t>
            </w:r>
            <w:r w:rsidR="006E5877">
              <w:rPr>
                <w:rFonts w:ascii="Arial" w:hAnsi="Arial" w:cs="Arial"/>
                <w:sz w:val="24"/>
                <w:szCs w:val="24"/>
              </w:rPr>
              <w:t>mahasiswa dan masyarakat dari segi berpakaian.</w:t>
            </w:r>
          </w:p>
          <w:p w:rsidR="006E5877" w:rsidRDefault="006E5877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wajib melaksanakan ibadah sesuai dengan yang disyariatkan Islam dan menjauhi Bid’ah.</w:t>
            </w:r>
          </w:p>
          <w:p w:rsidR="006E5877" w:rsidRDefault="006E5877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senantiasa melaksanakan amalan nawafil sesuai dengan tuntunan Rasulullah SAW.</w:t>
            </w:r>
          </w:p>
          <w:p w:rsidR="006E5877" w:rsidRDefault="006E5877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mampu membaca Al-Quran sesuai dengan ketentuan Tajwid.</w:t>
            </w:r>
          </w:p>
          <w:p w:rsidR="006E5877" w:rsidRDefault="006E5877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Pimpinan, dosen, dan tenaga kependidikan hafa</w:t>
            </w:r>
            <w:r w:rsidR="00841FEC">
              <w:rPr>
                <w:rFonts w:ascii="Arial" w:hAnsi="Arial" w:cs="Arial"/>
                <w:sz w:val="24"/>
                <w:szCs w:val="24"/>
              </w:rPr>
              <w:t>l sebagian surat dalam Al-Quran:</w:t>
            </w:r>
          </w:p>
          <w:p w:rsidR="00841FEC" w:rsidRDefault="00841FEC" w:rsidP="00841FEC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8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Pimpinan : 30 surat</w:t>
            </w:r>
          </w:p>
          <w:p w:rsidR="00841FEC" w:rsidRDefault="00841FEC" w:rsidP="00841FEC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8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pimpinan : 25 surat</w:t>
            </w:r>
          </w:p>
          <w:p w:rsidR="00841FEC" w:rsidRDefault="00841FEC" w:rsidP="00841FEC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8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dan sekretaris Prodi : 20 surat</w:t>
            </w:r>
          </w:p>
          <w:p w:rsidR="00841FEC" w:rsidRDefault="00841FEC" w:rsidP="00841FEC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8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Dosen : 15 surat</w:t>
            </w:r>
          </w:p>
          <w:p w:rsidR="00841FEC" w:rsidRDefault="00841FEC" w:rsidP="00841FEC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8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Dosen AIK : 35 surat</w:t>
            </w:r>
          </w:p>
          <w:p w:rsidR="00841FEC" w:rsidRDefault="00841FEC" w:rsidP="00841FEC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8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Tenaga kependidikan : 15 surat</w:t>
            </w:r>
          </w:p>
          <w:p w:rsidR="006E5877" w:rsidRDefault="006E5877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Dosen bertanggung jawab untuk menegur dan memperbaiki perilaku mahasiswa yang tidak sesuai dengan nilai Islam.</w:t>
            </w:r>
          </w:p>
          <w:p w:rsidR="00841FEC" w:rsidRDefault="0026298E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Seluruh stakeholder STKIP Muhammadiyah Aceh Barat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Daya</w:t>
            </w:r>
            <w:r w:rsidR="00841FEC">
              <w:rPr>
                <w:rFonts w:ascii="Arial" w:hAnsi="Arial" w:cs="Arial"/>
                <w:sz w:val="24"/>
                <w:szCs w:val="24"/>
              </w:rPr>
              <w:t xml:space="preserve"> wajib berpenampilan/berpakaian sesuai syariat islam</w:t>
            </w:r>
            <w:r w:rsidR="0017549E">
              <w:rPr>
                <w:rFonts w:ascii="Arial" w:hAnsi="Arial" w:cs="Arial"/>
                <w:sz w:val="24"/>
                <w:szCs w:val="24"/>
              </w:rPr>
              <w:t>, sopan, dan sesuai kode etik.</w:t>
            </w:r>
          </w:p>
          <w:p w:rsidR="00841FEC" w:rsidRDefault="0017549E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Ketua STKIP Muhammadiyah Aceh Barat Daya mengharuskan seluruh </w:t>
            </w:r>
            <w:r w:rsidRPr="0017549E">
              <w:rPr>
                <w:rFonts w:ascii="Arial" w:hAnsi="Arial" w:cs="Arial"/>
                <w:i/>
                <w:sz w:val="24"/>
                <w:szCs w:val="24"/>
              </w:rPr>
              <w:t>stakeholder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FEC">
              <w:rPr>
                <w:rFonts w:ascii="Arial" w:hAnsi="Arial" w:cs="Arial"/>
                <w:sz w:val="24"/>
                <w:szCs w:val="24"/>
              </w:rPr>
              <w:t xml:space="preserve">STKIP Muhammadiyah Aceh Barat Daya,  mahasiswa, dan masyarakat yang memasuki area kampus STKIP Muhammadiyah Aceh Barat Daya </w:t>
            </w:r>
            <w:r>
              <w:rPr>
                <w:rFonts w:ascii="Arial" w:hAnsi="Arial" w:cs="Arial"/>
                <w:sz w:val="24"/>
                <w:szCs w:val="24"/>
              </w:rPr>
              <w:t>untuk tidak</w:t>
            </w:r>
            <w:r w:rsidR="00841F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merokok.</w:t>
            </w:r>
          </w:p>
          <w:p w:rsidR="006E5877" w:rsidRDefault="006E5877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SDM di STKIP Muhammadiyah Aceh Barat Daya mengikuti Baitul Arqam </w:t>
            </w:r>
            <w:r w:rsidR="0017549E">
              <w:rPr>
                <w:rFonts w:ascii="Arial" w:hAnsi="Arial" w:cs="Arial"/>
                <w:sz w:val="24"/>
                <w:szCs w:val="24"/>
              </w:rPr>
              <w:t>atau</w:t>
            </w:r>
            <w:r>
              <w:rPr>
                <w:rFonts w:ascii="Arial" w:hAnsi="Arial" w:cs="Arial"/>
                <w:sz w:val="24"/>
                <w:szCs w:val="24"/>
              </w:rPr>
              <w:t xml:space="preserve"> kajian keislaman.</w:t>
            </w:r>
          </w:p>
          <w:p w:rsidR="00841FEC" w:rsidRDefault="00841FEC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terlibat aktif dalam persyarikatan Muhammadiyah dan memiliki Nomor Baku Muhammadiyah (NBM).</w:t>
            </w:r>
          </w:p>
          <w:p w:rsidR="006E5877" w:rsidRDefault="006E5877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(Tenaga Tetap) yang berprestasi berhak menerima fasilitas sesuai dengan kemampuan yang ada.</w:t>
            </w:r>
          </w:p>
          <w:p w:rsidR="001063EA" w:rsidRDefault="001063EA" w:rsidP="006E5877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Dosen memulai kegiatan perkuliahan dengan mengucapkan “</w:t>
            </w:r>
            <w:r>
              <w:rPr>
                <w:rFonts w:ascii="Arial" w:hAnsi="Arial" w:cs="Arial"/>
                <w:i/>
                <w:sz w:val="24"/>
                <w:szCs w:val="24"/>
              </w:rPr>
              <w:t>Bismillaahirrahmaanirrahiim”</w:t>
            </w:r>
            <w:r>
              <w:rPr>
                <w:rFonts w:ascii="Arial" w:hAnsi="Arial" w:cs="Arial"/>
                <w:sz w:val="24"/>
                <w:szCs w:val="24"/>
              </w:rPr>
              <w:t xml:space="preserve"> dan diakhiri dengan “</w:t>
            </w:r>
            <w:r>
              <w:rPr>
                <w:rFonts w:ascii="Arial" w:hAnsi="Arial" w:cs="Arial"/>
                <w:i/>
                <w:sz w:val="24"/>
                <w:szCs w:val="24"/>
              </w:rPr>
              <w:t>Alhamdulillaahirrabbil’alamiin”.</w:t>
            </w:r>
          </w:p>
          <w:p w:rsidR="001063EA" w:rsidRDefault="001063EA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Dosen berkewajiban membimbing mahasiswa untuk memulai perkuliahan dengan membaca Al-Quran atau Al Hadits beserta terjemahannya selama 5 menit.</w:t>
            </w:r>
          </w:p>
          <w:p w:rsidR="001063EA" w:rsidRDefault="001063EA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Dosen harus memisahkan posisi duduk mahasiswa pria dan wanita.</w:t>
            </w:r>
          </w:p>
          <w:p w:rsidR="001063EA" w:rsidRDefault="001063EA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STKIP Muhammadiyah Aceh Barat Daya harus menyediakan tempat dan waktu shalat pada setiap kegiatan.</w:t>
            </w:r>
          </w:p>
          <w:p w:rsidR="001063EA" w:rsidRDefault="001063EA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STKIP Muhammadiyah Aceh Barat Daya harus menyediakan masjid kampus sebagai pusat pengembangan hidup islami.</w:t>
            </w:r>
          </w:p>
          <w:p w:rsidR="001063EA" w:rsidRDefault="001063EA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STKIP Muhammadiyah Aceh Barat Daya harus menyediakan media dan sarana belajar yang mendukung suasana kampus islami.</w:t>
            </w:r>
          </w:p>
          <w:p w:rsidR="001063EA" w:rsidRDefault="001063EA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Ketua STKIP Muhammadiyah Aceh Barat Daya harus menyediakan toilet sesuai dengan perbandingan jumlah pria dan wanita.</w:t>
            </w:r>
          </w:p>
          <w:p w:rsidR="001063EA" w:rsidRDefault="001063EA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Ketua STKIP Muhammadiyah Aceh Barat Daya harus </w:t>
            </w:r>
            <w:r w:rsidR="002019FD">
              <w:rPr>
                <w:rFonts w:ascii="Arial" w:hAnsi="Arial" w:cs="Arial"/>
                <w:sz w:val="24"/>
                <w:szCs w:val="24"/>
              </w:rPr>
              <w:t>melaksanakan kegiatan orientasi dasar-dasar Islam bagi mahasiswa baru di awal tahun akademik.</w:t>
            </w:r>
          </w:p>
          <w:p w:rsidR="002019FD" w:rsidRDefault="002019FD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Ketua STKIP Muhammadiyah Aceh Barat Daya harus menyediakan kurikulum AIK jenjang Strata 1 </w:t>
            </w:r>
            <w:r w:rsidR="000C7EB3" w:rsidRPr="000C7EB3">
              <w:rPr>
                <w:rFonts w:ascii="Arial" w:hAnsi="Arial" w:cs="Arial"/>
                <w:sz w:val="24"/>
                <w:szCs w:val="24"/>
              </w:rPr>
              <w:t>sebanyak 5</w:t>
            </w:r>
            <w:r w:rsidRPr="000C7EB3">
              <w:rPr>
                <w:rFonts w:ascii="Arial" w:hAnsi="Arial" w:cs="Arial"/>
                <w:sz w:val="24"/>
                <w:szCs w:val="24"/>
              </w:rPr>
              <w:t xml:space="preserve"> mata kuliah </w:t>
            </w:r>
            <w:r>
              <w:rPr>
                <w:rFonts w:ascii="Arial" w:hAnsi="Arial" w:cs="Arial"/>
                <w:sz w:val="24"/>
                <w:szCs w:val="24"/>
              </w:rPr>
              <w:t>dengan bobot masing-masing 2 SKS.</w:t>
            </w:r>
          </w:p>
          <w:p w:rsidR="002019FD" w:rsidRDefault="002019FD" w:rsidP="001063EA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Perpustakaan harus menyediakan buku teks wajib untuk seluruh mata kuliah AIK.</w:t>
            </w:r>
          </w:p>
          <w:p w:rsidR="00841FEC" w:rsidRPr="00665E76" w:rsidRDefault="002019FD" w:rsidP="00665E76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Kepala </w:t>
            </w:r>
            <w:r w:rsidR="00841FEC">
              <w:rPr>
                <w:rFonts w:ascii="Arial" w:hAnsi="Arial" w:cs="Arial"/>
                <w:sz w:val="24"/>
                <w:szCs w:val="24"/>
              </w:rPr>
              <w:t>perpustakaan harus menyediakan buku, artikel,</w:t>
            </w:r>
            <w:r w:rsidR="00665E76">
              <w:rPr>
                <w:rFonts w:ascii="Arial" w:hAnsi="Arial" w:cs="Arial"/>
                <w:sz w:val="24"/>
                <w:szCs w:val="24"/>
              </w:rPr>
              <w:t xml:space="preserve"> prosiding, </w:t>
            </w:r>
            <w:r w:rsidR="00841FEC">
              <w:rPr>
                <w:rFonts w:ascii="Arial" w:hAnsi="Arial" w:cs="Arial"/>
                <w:sz w:val="24"/>
                <w:szCs w:val="24"/>
              </w:rPr>
              <w:t>dan jurnal pemikiran Islam  dan Kemuhammadiyahan.</w:t>
            </w:r>
          </w:p>
        </w:tc>
      </w:tr>
      <w:tr w:rsidR="0017549E" w:rsidRPr="00B54DAE" w:rsidTr="00AA1E91">
        <w:trPr>
          <w:trHeight w:val="2186"/>
        </w:trPr>
        <w:tc>
          <w:tcPr>
            <w:tcW w:w="2802" w:type="dxa"/>
          </w:tcPr>
          <w:p w:rsidR="0017549E" w:rsidRPr="00B54DAE" w:rsidRDefault="0017549E" w:rsidP="001754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Strategi Pelaksanaan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17549E" w:rsidRPr="0017549E" w:rsidRDefault="0017549E" w:rsidP="0017549E">
            <w:pPr>
              <w:numPr>
                <w:ilvl w:val="2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Dalam hal menejerial, dilakukan sosialisasi standar pendidikan AIK, penjamin pelaksanaan, dan evaluasi penyelenggaraannya kepada semua </w:t>
            </w:r>
            <w:r>
              <w:rPr>
                <w:rFonts w:ascii="Arial" w:eastAsia="Calibri" w:hAnsi="Arial" w:cs="Arial"/>
                <w:sz w:val="24"/>
                <w:szCs w:val="24"/>
              </w:rPr>
              <w:t>aras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 yang bertanggungjawab untuk memenuhi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isi standar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7549E" w:rsidRPr="0017549E" w:rsidRDefault="0017549E" w:rsidP="0017549E">
            <w:pPr>
              <w:numPr>
                <w:ilvl w:val="2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7549E">
              <w:rPr>
                <w:rFonts w:ascii="Arial" w:eastAsia="Calibri" w:hAnsi="Arial" w:cs="Arial" w:hint="eastAsia"/>
                <w:sz w:val="24"/>
                <w:szCs w:val="24"/>
                <w:cs/>
                <w:lang w:val="en-US"/>
              </w:rPr>
              <w:t>‎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>Dalam proses pendidikan digunakan strategi p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endekatan struktural  (menggunakan jalur struktur </w:t>
            </w:r>
            <w:r>
              <w:rPr>
                <w:rFonts w:ascii="Arial" w:eastAsia="Calibri" w:hAnsi="Arial" w:cs="Arial"/>
                <w:sz w:val="24"/>
                <w:szCs w:val="24"/>
              </w:rPr>
              <w:t>sekolah tinggi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>)</w:t>
            </w:r>
            <w:r w:rsidRPr="0017549E">
              <w:rPr>
                <w:rFonts w:ascii="Arial" w:eastAsia="Calibri" w:hAnsi="Arial" w:cs="Arial"/>
                <w:sz w:val="24"/>
                <w:szCs w:val="24"/>
                <w:cs/>
                <w:lang w:val="en-US"/>
              </w:rPr>
              <w:t>‎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>, dan p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>endekatan kultural (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>pembelajaran,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pembiasaan, dan peneladanan)</w:t>
            </w:r>
            <w:r w:rsidRPr="0017549E">
              <w:rPr>
                <w:rFonts w:ascii="Arial" w:eastAsia="Calibri" w:hAnsi="Arial" w:cs="Arial"/>
                <w:sz w:val="24"/>
                <w:szCs w:val="24"/>
                <w:cs/>
                <w:lang w:val="en-US"/>
              </w:rPr>
              <w:t>‎</w:t>
            </w:r>
            <w:r>
              <w:rPr>
                <w:rFonts w:ascii="Arial" w:eastAsia="Calibri" w:hAnsi="Arial" w:cs="Arial" w:hint="cs"/>
                <w:sz w:val="24"/>
                <w:szCs w:val="24"/>
                <w:cs/>
                <w:lang w:val="en-US"/>
              </w:rPr>
              <w:t>.</w:t>
            </w:r>
          </w:p>
          <w:p w:rsidR="0017549E" w:rsidRPr="0017549E" w:rsidRDefault="0017549E" w:rsidP="0017549E">
            <w:pPr>
              <w:numPr>
                <w:ilvl w:val="2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7549E">
              <w:rPr>
                <w:rFonts w:ascii="Arial" w:eastAsia="Calibri" w:hAnsi="Arial" w:cs="Arial" w:hint="eastAsia"/>
                <w:sz w:val="24"/>
                <w:szCs w:val="24"/>
                <w:cs/>
                <w:lang w:val="en-US"/>
              </w:rPr>
              <w:t>‎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>Sedangkan m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>etode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 pendidikan dan pembelajaran AIK digunakan metode-metode: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kuliah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 reguler, m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otivasi 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 dan 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>elatihan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17549E">
              <w:rPr>
                <w:rFonts w:ascii="Arial" w:eastAsia="Calibri" w:hAnsi="Arial" w:cs="Arial"/>
                <w:i/>
                <w:sz w:val="24"/>
                <w:szCs w:val="24"/>
              </w:rPr>
              <w:t>o</w:t>
            </w:r>
            <w:r w:rsidRPr="0017549E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utbond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atau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 xml:space="preserve"> w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>isata ruhani</w:t>
            </w:r>
            <w:r w:rsidRPr="0017549E">
              <w:rPr>
                <w:rFonts w:ascii="Arial" w:eastAsia="Calibri" w:hAnsi="Arial" w:cs="Arial"/>
                <w:sz w:val="24"/>
                <w:szCs w:val="24"/>
              </w:rPr>
              <w:t>, keterlibatan dan peran, serta g</w:t>
            </w:r>
            <w:r w:rsidRPr="0017549E">
              <w:rPr>
                <w:rFonts w:ascii="Arial" w:eastAsia="Calibri" w:hAnsi="Arial" w:cs="Arial"/>
                <w:sz w:val="24"/>
                <w:szCs w:val="24"/>
                <w:lang w:val="en-US"/>
              </w:rPr>
              <w:t>elar seni-budaya Islami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17549E" w:rsidRPr="00B54DAE" w:rsidTr="00AA1E91">
        <w:tc>
          <w:tcPr>
            <w:tcW w:w="2802" w:type="dxa"/>
          </w:tcPr>
          <w:p w:rsidR="0017549E" w:rsidRPr="00B54DAE" w:rsidRDefault="0017549E" w:rsidP="001754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Indikator Ketercapaian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17549E" w:rsidRDefault="0017549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Terlaksananya cara landasan berfikir, bersikap, dan berperilaku sesuai Al-Quran dan Hadits.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Seluruh </w:t>
            </w:r>
            <w:r w:rsidRPr="00125BBE">
              <w:rPr>
                <w:rFonts w:ascii="Arial" w:hAnsi="Arial" w:cs="Arial"/>
                <w:i/>
                <w:sz w:val="24"/>
                <w:szCs w:val="24"/>
              </w:rPr>
              <w:t>stak</w:t>
            </w:r>
            <w:r w:rsidR="00125BBE" w:rsidRPr="00125BBE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125BBE">
              <w:rPr>
                <w:rFonts w:ascii="Arial" w:hAnsi="Arial" w:cs="Arial"/>
                <w:i/>
                <w:sz w:val="24"/>
                <w:szCs w:val="24"/>
              </w:rPr>
              <w:t>holder</w:t>
            </w:r>
            <w:r>
              <w:rPr>
                <w:rFonts w:ascii="Arial" w:hAnsi="Arial" w:cs="Arial"/>
                <w:sz w:val="24"/>
                <w:szCs w:val="24"/>
              </w:rPr>
              <w:t xml:space="preserve"> STKIP Muhammadiyah Aceh Barat Daya mampu membaca dan menghafal Al-Quran sesuai ketentuan tajwid.</w:t>
            </w:r>
          </w:p>
          <w:p w:rsidR="0026298E" w:rsidRDefault="0026298E" w:rsidP="0026298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aturan berpakaian/berpenampilan, bersikap dan berperilaku bagi seluruh </w:t>
            </w:r>
            <w:r w:rsidRPr="00125BBE">
              <w:rPr>
                <w:rFonts w:ascii="Arial" w:hAnsi="Arial" w:cs="Arial"/>
                <w:i/>
                <w:sz w:val="24"/>
                <w:szCs w:val="24"/>
              </w:rPr>
              <w:t>stakeholder</w:t>
            </w:r>
            <w:r>
              <w:rPr>
                <w:rFonts w:ascii="Arial" w:hAnsi="Arial" w:cs="Arial"/>
                <w:sz w:val="24"/>
                <w:szCs w:val="24"/>
              </w:rPr>
              <w:t xml:space="preserve"> STKIP Muhammadiyah Aceh Barat Daya sesuai standar AIK.</w:t>
            </w:r>
          </w:p>
          <w:p w:rsidR="0017549E" w:rsidRDefault="0017549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 di STKIP Muhammadiyah Aceh Barat Daya memiliki Nomor Baku Muhammadiyah (NBM).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Terdapatnya fasilitas yang diberikan kepada SDM (Tenaga Tetap) yang berprestasi baik</w:t>
            </w:r>
            <w:r w:rsidR="001754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Terlaksananya k</w:t>
            </w:r>
            <w:r w:rsidR="0017549E">
              <w:rPr>
                <w:rFonts w:ascii="Arial" w:hAnsi="Arial" w:cs="Arial"/>
                <w:sz w:val="24"/>
                <w:szCs w:val="24"/>
              </w:rPr>
              <w:t>egiatan perkuliahan dengan mengucapkan “</w:t>
            </w:r>
            <w:r w:rsidR="0017549E">
              <w:rPr>
                <w:rFonts w:ascii="Arial" w:hAnsi="Arial" w:cs="Arial"/>
                <w:i/>
                <w:sz w:val="24"/>
                <w:szCs w:val="24"/>
              </w:rPr>
              <w:t>Bismillaahirrahmaanirrahiim”</w:t>
            </w:r>
            <w:r w:rsidR="0017549E">
              <w:rPr>
                <w:rFonts w:ascii="Arial" w:hAnsi="Arial" w:cs="Arial"/>
                <w:sz w:val="24"/>
                <w:szCs w:val="24"/>
              </w:rPr>
              <w:t xml:space="preserve"> dan diakhiri dengan “</w:t>
            </w:r>
            <w:r w:rsidR="0017549E">
              <w:rPr>
                <w:rFonts w:ascii="Arial" w:hAnsi="Arial" w:cs="Arial"/>
                <w:i/>
                <w:sz w:val="24"/>
                <w:szCs w:val="24"/>
              </w:rPr>
              <w:t>Alhamdulillaahirrabbil’alamiin”.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Terlaksananya kegiatan</w:t>
            </w:r>
            <w:r w:rsidR="0017549E">
              <w:rPr>
                <w:rFonts w:ascii="Arial" w:hAnsi="Arial" w:cs="Arial"/>
                <w:sz w:val="24"/>
                <w:szCs w:val="24"/>
              </w:rPr>
              <w:t xml:space="preserve"> perkuliahan dengan membaca Al-Quran atau Al Hadits beserta terjemahannya selama 5 menit.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Terlaksananya </w:t>
            </w:r>
            <w:r w:rsidR="0017549E">
              <w:rPr>
                <w:rFonts w:ascii="Arial" w:hAnsi="Arial" w:cs="Arial"/>
                <w:sz w:val="24"/>
                <w:szCs w:val="24"/>
              </w:rPr>
              <w:t>posisi duduk mahasiswa pria dan wanita</w:t>
            </w:r>
            <w:r>
              <w:rPr>
                <w:rFonts w:ascii="Arial" w:hAnsi="Arial" w:cs="Arial"/>
                <w:sz w:val="24"/>
                <w:szCs w:val="24"/>
              </w:rPr>
              <w:t xml:space="preserve"> yang terpisah</w:t>
            </w:r>
            <w:r w:rsidR="001754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sz w:val="24"/>
                <w:szCs w:val="24"/>
              </w:rPr>
              <w:t>masjid kampus sebagai pusat pengembangan hidup islami.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sz w:val="24"/>
                <w:szCs w:val="24"/>
              </w:rPr>
              <w:t>media dan sarana belajar yang mendukung suasana kampus islami.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sz w:val="24"/>
                <w:szCs w:val="24"/>
              </w:rPr>
              <w:t>toilet sesuai dengan perb</w:t>
            </w:r>
            <w:r>
              <w:rPr>
                <w:rFonts w:ascii="Arial" w:hAnsi="Arial" w:cs="Arial"/>
                <w:sz w:val="24"/>
                <w:szCs w:val="24"/>
              </w:rPr>
              <w:t>andingan jumlah pria dan wanita.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Terlaksananya </w:t>
            </w:r>
            <w:r w:rsidR="0017549E">
              <w:rPr>
                <w:rFonts w:ascii="Arial" w:hAnsi="Arial" w:cs="Arial"/>
                <w:sz w:val="24"/>
                <w:szCs w:val="24"/>
              </w:rPr>
              <w:t>kegiatan orientasi dasar-dasar Islam bagi mahasiswa baru di awal tahun akademik.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E76">
              <w:rPr>
                <w:rFonts w:ascii="Arial" w:hAnsi="Arial" w:cs="Arial"/>
                <w:sz w:val="24"/>
                <w:szCs w:val="24"/>
              </w:rPr>
              <w:t>Terselenggarakannya perkulihan mata kuliah AIK s</w:t>
            </w:r>
            <w:r w:rsidR="0017549E" w:rsidRPr="00665E76">
              <w:rPr>
                <w:rFonts w:ascii="Arial" w:hAnsi="Arial" w:cs="Arial"/>
                <w:sz w:val="24"/>
                <w:szCs w:val="24"/>
              </w:rPr>
              <w:t xml:space="preserve">ebanyak </w:t>
            </w:r>
            <w:r w:rsidR="00665E76" w:rsidRPr="00665E76">
              <w:rPr>
                <w:rFonts w:ascii="Arial" w:hAnsi="Arial" w:cs="Arial"/>
                <w:sz w:val="24"/>
                <w:szCs w:val="24"/>
              </w:rPr>
              <w:t>5</w:t>
            </w:r>
            <w:r w:rsidR="0017549E" w:rsidRPr="00665E76">
              <w:rPr>
                <w:rFonts w:ascii="Arial" w:hAnsi="Arial" w:cs="Arial"/>
                <w:sz w:val="24"/>
                <w:szCs w:val="24"/>
              </w:rPr>
              <w:t xml:space="preserve"> mata kuliah</w:t>
            </w:r>
            <w:r w:rsidR="0017549E">
              <w:rPr>
                <w:rFonts w:ascii="Arial" w:hAnsi="Arial" w:cs="Arial"/>
                <w:sz w:val="24"/>
                <w:szCs w:val="24"/>
              </w:rPr>
              <w:t xml:space="preserve"> dengan bobot masing-masing 2 SKS.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Terlaksananya </w:t>
            </w:r>
            <w:r w:rsidR="0017549E">
              <w:rPr>
                <w:rFonts w:ascii="Arial" w:hAnsi="Arial" w:cs="Arial"/>
                <w:sz w:val="24"/>
                <w:szCs w:val="24"/>
              </w:rPr>
              <w:t>ujian</w:t>
            </w:r>
            <w:r>
              <w:rPr>
                <w:rFonts w:ascii="Arial" w:hAnsi="Arial" w:cs="Arial"/>
                <w:sz w:val="24"/>
                <w:szCs w:val="24"/>
              </w:rPr>
              <w:t xml:space="preserve"> kelulusan</w:t>
            </w:r>
            <w:r w:rsidR="0017549E">
              <w:rPr>
                <w:rFonts w:ascii="Arial" w:hAnsi="Arial" w:cs="Arial"/>
                <w:sz w:val="24"/>
                <w:szCs w:val="24"/>
              </w:rPr>
              <w:t xml:space="preserve"> Komprehensif AIK sebagai syarat untuk mengikuti ujian skripsi/tugas akhir.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sz w:val="24"/>
                <w:szCs w:val="24"/>
              </w:rPr>
              <w:t>program rintisan integrasi kurikulum AIK dengan kurikulum Umum.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sz w:val="24"/>
                <w:szCs w:val="24"/>
              </w:rPr>
              <w:t>buku teks wajib untuk seluruh mata kuliah AIK.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sz w:val="24"/>
                <w:szCs w:val="24"/>
              </w:rPr>
              <w:t>buku, artikel, dan jurnal pemikiran Islam  dan Kemuhammadiyahan.</w:t>
            </w:r>
          </w:p>
          <w:p w:rsidR="0017549E" w:rsidRDefault="0026298E" w:rsidP="0017549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i/>
                <w:sz w:val="24"/>
                <w:szCs w:val="24"/>
              </w:rPr>
              <w:t>e-journal</w:t>
            </w:r>
            <w:r w:rsidR="0017549E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 w:rsidR="0017549E">
              <w:rPr>
                <w:rFonts w:ascii="Arial" w:hAnsi="Arial" w:cs="Arial"/>
                <w:i/>
                <w:sz w:val="24"/>
                <w:szCs w:val="24"/>
              </w:rPr>
              <w:t>e-book</w:t>
            </w:r>
            <w:r w:rsidR="0017549E">
              <w:rPr>
                <w:rFonts w:ascii="Arial" w:hAnsi="Arial" w:cs="Arial"/>
                <w:sz w:val="24"/>
                <w:szCs w:val="24"/>
              </w:rPr>
              <w:t xml:space="preserve">  berbahasa  Indonesia dan bahasa Internasional.</w:t>
            </w:r>
          </w:p>
          <w:p w:rsidR="0017549E" w:rsidRPr="00825469" w:rsidRDefault="0026298E" w:rsidP="0026298E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="0017549E">
              <w:rPr>
                <w:rFonts w:ascii="Arial" w:hAnsi="Arial" w:cs="Arial"/>
                <w:sz w:val="24"/>
                <w:szCs w:val="24"/>
              </w:rPr>
              <w:t>prosiding AIK.</w:t>
            </w:r>
          </w:p>
        </w:tc>
      </w:tr>
      <w:tr w:rsidR="0017549E" w:rsidRPr="00B54DAE" w:rsidTr="00AA1E91">
        <w:tc>
          <w:tcPr>
            <w:tcW w:w="2802" w:type="dxa"/>
          </w:tcPr>
          <w:p w:rsidR="0017549E" w:rsidRPr="00B54DAE" w:rsidRDefault="0017549E" w:rsidP="001754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Dokumen Terkait Pelaksanaan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17549E" w:rsidRDefault="0026298E" w:rsidP="0017549E">
            <w:pPr>
              <w:pStyle w:val="Default"/>
              <w:numPr>
                <w:ilvl w:val="0"/>
                <w:numId w:val="42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Aturan kode etik stakeholder </w:t>
            </w:r>
            <w:r>
              <w:rPr>
                <w:rFonts w:ascii="Arial" w:hAnsi="Arial" w:cs="Arial"/>
              </w:rPr>
              <w:t>STKIP Muhammadiyah Aceh Barat Daya</w:t>
            </w:r>
            <w:r>
              <w:rPr>
                <w:rFonts w:ascii="Arial" w:hAnsi="Arial" w:cs="Arial"/>
                <w:lang w:val="id-ID"/>
              </w:rPr>
              <w:t xml:space="preserve"> sesuai standar AIK</w:t>
            </w:r>
          </w:p>
          <w:p w:rsidR="0026298E" w:rsidRDefault="00EA5146" w:rsidP="0017549E">
            <w:pPr>
              <w:pStyle w:val="Default"/>
              <w:numPr>
                <w:ilvl w:val="0"/>
                <w:numId w:val="42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Daftar buku, artikel, jurnal, dan prosiding AIK.</w:t>
            </w:r>
          </w:p>
          <w:p w:rsidR="00EA5146" w:rsidRPr="00341FA6" w:rsidRDefault="00EA5146" w:rsidP="0017549E">
            <w:pPr>
              <w:pStyle w:val="Default"/>
              <w:numPr>
                <w:ilvl w:val="0"/>
                <w:numId w:val="42"/>
              </w:numPr>
              <w:spacing w:line="360" w:lineRule="auto"/>
              <w:ind w:left="45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Formulir rekapitulasi hafalan Al-Quran</w:t>
            </w:r>
          </w:p>
        </w:tc>
      </w:tr>
      <w:tr w:rsidR="0017549E" w:rsidRPr="00B54DAE" w:rsidTr="00AA1E91">
        <w:tc>
          <w:tcPr>
            <w:tcW w:w="2802" w:type="dxa"/>
          </w:tcPr>
          <w:p w:rsidR="0017549E" w:rsidRPr="00430EA2" w:rsidRDefault="0017549E" w:rsidP="001754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30EA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Referensi </w:t>
            </w:r>
          </w:p>
        </w:tc>
        <w:tc>
          <w:tcPr>
            <w:tcW w:w="6946" w:type="dxa"/>
          </w:tcPr>
          <w:p w:rsidR="0017549E" w:rsidRPr="00430EA2" w:rsidRDefault="0017549E" w:rsidP="0017549E">
            <w:pPr>
              <w:pStyle w:val="Default"/>
              <w:numPr>
                <w:ilvl w:val="0"/>
                <w:numId w:val="40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 w:rsidRPr="00430EA2">
              <w:rPr>
                <w:rFonts w:ascii="Arial" w:hAnsi="Arial" w:cs="Arial"/>
                <w:color w:val="auto"/>
                <w:lang w:val="id-ID"/>
              </w:rPr>
              <w:t>Per</w:t>
            </w:r>
            <w:r>
              <w:rPr>
                <w:rFonts w:ascii="Arial" w:hAnsi="Arial" w:cs="Arial"/>
                <w:color w:val="auto"/>
                <w:lang w:val="id-ID"/>
              </w:rPr>
              <w:t>menristekdikti No 4 tahun 2017 tentang pedoman kerjasama di lingkungan Kemenristekdikti</w:t>
            </w:r>
          </w:p>
          <w:p w:rsidR="0017549E" w:rsidRPr="00430EA2" w:rsidRDefault="0017549E" w:rsidP="0017549E">
            <w:pPr>
              <w:pStyle w:val="Default"/>
              <w:numPr>
                <w:ilvl w:val="0"/>
                <w:numId w:val="40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UU no 12 tahun 2012 tentang Pendidikan Tinggi</w:t>
            </w:r>
          </w:p>
          <w:p w:rsidR="0017549E" w:rsidRPr="00430EA2" w:rsidRDefault="0017549E" w:rsidP="0017549E">
            <w:pPr>
              <w:pStyle w:val="Default"/>
              <w:numPr>
                <w:ilvl w:val="0"/>
                <w:numId w:val="40"/>
              </w:numPr>
              <w:spacing w:line="360" w:lineRule="auto"/>
              <w:ind w:left="459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Matriks penilaian borang akreditasi BAN-PT</w:t>
            </w:r>
          </w:p>
        </w:tc>
      </w:tr>
    </w:tbl>
    <w:p w:rsidR="00E27243" w:rsidRPr="000C7820" w:rsidRDefault="00E27243" w:rsidP="00E2724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27243" w:rsidRDefault="00E27243" w:rsidP="00B445B4">
      <w:pPr>
        <w:rPr>
          <w:rFonts w:ascii="Arial" w:hAnsi="Arial" w:cs="Arial"/>
          <w:sz w:val="24"/>
          <w:szCs w:val="24"/>
          <w:lang w:val="en-US"/>
        </w:rPr>
      </w:pPr>
    </w:p>
    <w:p w:rsidR="00B445B4" w:rsidRDefault="00B445B4" w:rsidP="00B445B4">
      <w:pPr>
        <w:rPr>
          <w:rFonts w:ascii="Arial" w:hAnsi="Arial" w:cs="Arial"/>
          <w:sz w:val="24"/>
          <w:szCs w:val="24"/>
          <w:lang w:val="en-US"/>
        </w:rPr>
      </w:pPr>
    </w:p>
    <w:p w:rsidR="00B445B4" w:rsidRDefault="00B445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066687" w:rsidRPr="000C7820" w:rsidTr="0071414B">
        <w:tc>
          <w:tcPr>
            <w:tcW w:w="1843" w:type="dxa"/>
            <w:vMerge w:val="restart"/>
            <w:vAlign w:val="center"/>
          </w:tcPr>
          <w:p w:rsidR="00066687" w:rsidRPr="000C7820" w:rsidRDefault="00066687" w:rsidP="0071414B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0FAF5393" wp14:editId="5425FA87">
                  <wp:extent cx="1076325" cy="1047750"/>
                  <wp:effectExtent l="19050" t="0" r="9525" b="0"/>
                  <wp:docPr id="15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066687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066687" w:rsidRPr="000C7820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LPM-STKIPMABDYA/SPMI/MAN.25.01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0934" w:rsidRPr="00393B6E" w:rsidRDefault="00610934" w:rsidP="0061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Penetapan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AIK</w:t>
            </w:r>
          </w:p>
        </w:tc>
        <w:tc>
          <w:tcPr>
            <w:tcW w:w="4678" w:type="dxa"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4</w:t>
            </w:r>
          </w:p>
        </w:tc>
      </w:tr>
    </w:tbl>
    <w:p w:rsidR="00B445B4" w:rsidRPr="000C7820" w:rsidRDefault="00B445B4" w:rsidP="00B445B4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B445B4" w:rsidRDefault="00B445B4" w:rsidP="00B445B4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PENETAPAN </w:t>
      </w:r>
    </w:p>
    <w:p w:rsidR="00B445B4" w:rsidRDefault="0007639A" w:rsidP="00B445B4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STANDAR AIK</w:t>
      </w:r>
    </w:p>
    <w:p w:rsidR="00B445B4" w:rsidRPr="000C7820" w:rsidRDefault="00B445B4" w:rsidP="00B445B4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6928D2A0" wp14:editId="5E253950">
            <wp:extent cx="1809750" cy="1676400"/>
            <wp:effectExtent l="19050" t="0" r="0" b="0"/>
            <wp:docPr id="4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B445B4" w:rsidRPr="000C7820" w:rsidRDefault="00B445B4" w:rsidP="00B445B4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B445B4" w:rsidRPr="000C7820" w:rsidTr="0065540C">
        <w:tc>
          <w:tcPr>
            <w:tcW w:w="2125" w:type="dxa"/>
            <w:vMerge w:val="restart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B445B4" w:rsidRPr="000C7820" w:rsidTr="0065540C">
        <w:tc>
          <w:tcPr>
            <w:tcW w:w="2125" w:type="dxa"/>
            <w:vMerge/>
            <w:vAlign w:val="center"/>
          </w:tcPr>
          <w:p w:rsidR="00B445B4" w:rsidRPr="000C7820" w:rsidRDefault="00B445B4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6E5877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B445B4" w:rsidRPr="00B445B4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6E5877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6E5877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6E5877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5B4" w:rsidRPr="000C7820" w:rsidTr="0065540C">
        <w:tc>
          <w:tcPr>
            <w:tcW w:w="2125" w:type="dxa"/>
            <w:vAlign w:val="center"/>
          </w:tcPr>
          <w:p w:rsidR="00B445B4" w:rsidRPr="000C7820" w:rsidRDefault="00B445B4" w:rsidP="006E5877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B445B4" w:rsidRPr="00B445B4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B445B4" w:rsidRPr="000C7820" w:rsidRDefault="00B445B4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445B4" w:rsidRDefault="00B445B4" w:rsidP="00B445B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B445B4" w:rsidRPr="00B54DAE" w:rsidTr="0065540C">
        <w:tc>
          <w:tcPr>
            <w:tcW w:w="2660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2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>Visi dan Misi STKIP Muhammadiyah Aceh Barat Daya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B54DAE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B445B4" w:rsidRPr="00B54DAE" w:rsidRDefault="00B445B4" w:rsidP="006E5877">
            <w:pPr>
              <w:numPr>
                <w:ilvl w:val="0"/>
                <w:numId w:val="8"/>
              </w:numPr>
              <w:tabs>
                <w:tab w:val="clear" w:pos="720"/>
              </w:tabs>
              <w:spacing w:line="360" w:lineRule="auto"/>
              <w:ind w:left="49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B445B4" w:rsidRPr="00B54DAE" w:rsidRDefault="00B445B4" w:rsidP="006E5877">
            <w:pPr>
              <w:numPr>
                <w:ilvl w:val="0"/>
                <w:numId w:val="8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B445B4" w:rsidRPr="00B54DAE" w:rsidRDefault="00B445B4" w:rsidP="006E5877">
            <w:pPr>
              <w:numPr>
                <w:ilvl w:val="0"/>
                <w:numId w:val="8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Manual Penetapan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Penetapan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dimaksudkan  sebagai acuan dalam merancang, merumuskan dan menetapkan berbagai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D40ADE" w:rsidRPr="00B5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di </w:t>
            </w:r>
            <w:r w:rsidRPr="00B54DAE">
              <w:rPr>
                <w:rFonts w:ascii="Arial" w:hAnsi="Arial" w:cs="Arial"/>
                <w:sz w:val="24"/>
                <w:szCs w:val="24"/>
              </w:rPr>
              <w:t>STKIP Muhammadiyah Aceh Barat Daya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, Program Studi, Lembaga dan Unit Pelaksana Teknis (UPT) dalam upaya peningkatan mutu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A75415" w:rsidRPr="00B54D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secara terus menerus dan berkelanjutan sehingga terciptanya budaya mutu di STKIP Muhammadiyah Aceh Barat Daya.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Luas Lingkup Manual Penetapan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Penggunaannya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Ketika sebuah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pertama kali dirancang, dirumuskan, dan ditetapkan;</w:t>
            </w:r>
          </w:p>
          <w:p w:rsidR="00B445B4" w:rsidRPr="00B54DAE" w:rsidRDefault="00A75415" w:rsidP="006E587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</w:rPr>
              <w:t>Dalam pengelolaan pelaksana</w:t>
            </w:r>
            <w:r w:rsidR="00D64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di STKIP Muhammadiyah Aceh Barat Daya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Merancang </w:t>
            </w:r>
            <w:r w:rsidR="0007639A">
              <w:rPr>
                <w:rFonts w:ascii="Arial" w:hAnsi="Arial" w:cs="Arial"/>
              </w:rPr>
              <w:t>Standar AIK</w:t>
            </w:r>
            <w:r w:rsidRPr="00B54DAE">
              <w:rPr>
                <w:rFonts w:ascii="Arial" w:hAnsi="Arial" w:cs="Arial"/>
              </w:rPr>
              <w:t xml:space="preserve">: olah pikir untuk menghasilkan </w:t>
            </w:r>
            <w:r w:rsidR="0007639A">
              <w:rPr>
                <w:rFonts w:ascii="Arial" w:hAnsi="Arial" w:cs="Arial"/>
              </w:rPr>
              <w:t>Standar AIK</w:t>
            </w:r>
            <w:r w:rsidRPr="00B54DAE">
              <w:rPr>
                <w:rFonts w:ascii="Arial" w:hAnsi="Arial" w:cs="Arial"/>
              </w:rPr>
              <w:t xml:space="preserve"> tentang semua hal yang dibutuhkan untuk mengembangkan mutu STKIP Muhammadiyah Aceh Barat Daya.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Merumuskan </w:t>
            </w:r>
            <w:r w:rsidR="0007639A">
              <w:rPr>
                <w:rFonts w:ascii="Arial" w:hAnsi="Arial" w:cs="Arial"/>
              </w:rPr>
              <w:t>Standar AIK</w:t>
            </w:r>
            <w:r w:rsidRPr="00B54DAE">
              <w:rPr>
                <w:rFonts w:ascii="Arial" w:hAnsi="Arial" w:cs="Arial"/>
              </w:rPr>
              <w:t xml:space="preserve">: menuliskan isi setiap </w:t>
            </w:r>
            <w:r w:rsidR="0007639A">
              <w:rPr>
                <w:rFonts w:ascii="Arial" w:hAnsi="Arial" w:cs="Arial"/>
              </w:rPr>
              <w:t>Standar AIK</w:t>
            </w:r>
            <w:r w:rsidRPr="00B54DAE">
              <w:rPr>
                <w:rFonts w:ascii="Arial" w:hAnsi="Arial" w:cs="Arial"/>
              </w:rPr>
              <w:t xml:space="preserve"> ke dalam bentuk pernyataan lengkap dan utuh dengan menggunakan rumus </w:t>
            </w:r>
            <w:r w:rsidRPr="00B54DAE">
              <w:rPr>
                <w:rFonts w:ascii="Arial" w:hAnsi="Arial" w:cs="Arial"/>
                <w:i/>
                <w:iCs/>
              </w:rPr>
              <w:t>Audience, Behaviour, Competence</w:t>
            </w:r>
            <w:r w:rsidRPr="00B54DAE">
              <w:rPr>
                <w:rFonts w:ascii="Arial" w:hAnsi="Arial" w:cs="Arial"/>
              </w:rPr>
              <w:t xml:space="preserve">, dan </w:t>
            </w:r>
            <w:r w:rsidRPr="00B54DAE">
              <w:rPr>
                <w:rFonts w:ascii="Arial" w:hAnsi="Arial" w:cs="Arial"/>
                <w:i/>
                <w:iCs/>
              </w:rPr>
              <w:t xml:space="preserve">Degree </w:t>
            </w:r>
            <w:r w:rsidRPr="00B54DAE">
              <w:rPr>
                <w:rFonts w:ascii="Arial" w:hAnsi="Arial" w:cs="Arial"/>
              </w:rPr>
              <w:t xml:space="preserve">atau </w:t>
            </w:r>
            <w:r w:rsidRPr="00B54DAE">
              <w:rPr>
                <w:rFonts w:ascii="Arial" w:hAnsi="Arial" w:cs="Arial"/>
                <w:i/>
                <w:iCs/>
              </w:rPr>
              <w:t>KPIs.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Menetapkan </w:t>
            </w:r>
            <w:r w:rsidR="0007639A">
              <w:rPr>
                <w:rFonts w:ascii="Arial" w:hAnsi="Arial" w:cs="Arial"/>
              </w:rPr>
              <w:t>Standar AIK</w:t>
            </w:r>
            <w:r w:rsidRPr="00B54DAE">
              <w:rPr>
                <w:rFonts w:ascii="Arial" w:hAnsi="Arial" w:cs="Arial"/>
              </w:rPr>
              <w:t xml:space="preserve">: tindakan persetujuan dan pengesahan </w:t>
            </w:r>
            <w:r w:rsidR="0007639A">
              <w:rPr>
                <w:rFonts w:ascii="Arial" w:hAnsi="Arial" w:cs="Arial"/>
              </w:rPr>
              <w:t>Standar AIK</w:t>
            </w:r>
            <w:r w:rsidR="00D40ADE" w:rsidRPr="00B54DAE">
              <w:rPr>
                <w:rFonts w:ascii="Arial" w:hAnsi="Arial" w:cs="Arial"/>
              </w:rPr>
              <w:t xml:space="preserve"> </w:t>
            </w:r>
            <w:r w:rsidRPr="00B54DAE">
              <w:rPr>
                <w:rFonts w:ascii="Arial" w:hAnsi="Arial" w:cs="Arial"/>
              </w:rPr>
              <w:t xml:space="preserve">sehingga </w:t>
            </w:r>
            <w:r w:rsidR="0007639A">
              <w:rPr>
                <w:rFonts w:ascii="Arial" w:hAnsi="Arial" w:cs="Arial"/>
              </w:rPr>
              <w:t>Standar AIK</w:t>
            </w:r>
            <w:r w:rsidR="00D40ADE" w:rsidRPr="00B54DAE">
              <w:rPr>
                <w:rFonts w:ascii="Arial" w:hAnsi="Arial" w:cs="Arial"/>
              </w:rPr>
              <w:t xml:space="preserve"> </w:t>
            </w:r>
            <w:r w:rsidRPr="00B54DAE">
              <w:rPr>
                <w:rFonts w:ascii="Arial" w:hAnsi="Arial" w:cs="Arial"/>
              </w:rPr>
              <w:t xml:space="preserve">dinyatakan berlaku; 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>Studi pelacakan: studi untuk mendapatkan data yang diperlukan dari pemangku kepentingan dan/atau eksternal sebagai bahan acuan untuk menentukan/membuat draft standar</w:t>
            </w:r>
          </w:p>
          <w:p w:rsidR="00B445B4" w:rsidRPr="00B54DAE" w:rsidRDefault="00B445B4" w:rsidP="00C43181">
            <w:pPr>
              <w:pStyle w:val="Default"/>
              <w:numPr>
                <w:ilvl w:val="0"/>
                <w:numId w:val="5"/>
              </w:numPr>
              <w:spacing w:line="360" w:lineRule="auto"/>
              <w:ind w:left="459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lastRenderedPageBreak/>
              <w:t xml:space="preserve">Uji publik: proses pengujian atau sosialisasi kepada pemangku kepentingan internal dan/atau eksternal dari draft standar sebelum ditetapkan sebagai standar. 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Langkah-langkah atau Prosedur Penetapan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Menjadikan Visi dan Misi </w:t>
            </w:r>
            <w:r w:rsidRPr="00B54DAE">
              <w:rPr>
                <w:rFonts w:ascii="Arial" w:hAnsi="Arial" w:cs="Arial"/>
                <w:sz w:val="24"/>
                <w:szCs w:val="24"/>
              </w:rPr>
              <w:t>STKIP Muhammadiyah Aceh Barat Daya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sebagai titik tolak dan tujuan akhir, mulai dari merancang hingga menetapkan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Mengumpulkan dan mempelajari isi peraturan perundang-undangan yang relevan dengan aspek lingkup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Mencatat norma-norma hukum atau syarat yang tercantum dalam peraturan perundang-undangan yang tidak dapat disimpangi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evaluasi diri dengan melakukan </w:t>
            </w:r>
            <w:r w:rsidRPr="00B54DAE">
              <w:rPr>
                <w:rFonts w:ascii="Arial" w:hAnsi="Arial" w:cs="Arial"/>
                <w:i/>
                <w:sz w:val="24"/>
                <w:szCs w:val="24"/>
                <w:lang w:val="en-US"/>
              </w:rPr>
              <w:t>SWOT analysis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Melaksanakan studi pelacakan atau survey tentang aspek yang hendak dibuat standarnya, terhadap kepentingan penyelenggaraan pendidikan internal dan/atau eksternal di STKIP Muhammadiyah Aceh Barat Daya.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Lakukan analisis hasil dari langkah no 2. Hingga no 4 dengan mengujinya terhadap Visi dan Misi </w:t>
            </w:r>
            <w:r w:rsidRPr="00B54DAE">
              <w:rPr>
                <w:rFonts w:ascii="Arial" w:hAnsi="Arial" w:cs="Arial"/>
                <w:sz w:val="24"/>
                <w:szCs w:val="24"/>
              </w:rPr>
              <w:t>STKIP Muhammadiyah Aceh Barat Daya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Merumuskan draf awal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yang bersangkutan dengan menggunakan rumus ABCD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 xml:space="preserve">Audience, Behaviour, Competence, </w:t>
            </w:r>
            <w:r w:rsidRPr="00B54DAE">
              <w:rPr>
                <w:rFonts w:ascii="Arial" w:hAnsi="Arial" w:cs="Arial"/>
                <w:sz w:val="24"/>
                <w:szCs w:val="24"/>
              </w:rPr>
              <w:t>dan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 xml:space="preserve"> Degree</w:t>
            </w:r>
            <w:r w:rsidRPr="00B54DAE">
              <w:rPr>
                <w:rFonts w:ascii="Arial" w:hAnsi="Arial" w:cs="Arial"/>
                <w:sz w:val="24"/>
                <w:szCs w:val="24"/>
              </w:rPr>
              <w:t>) yang berarti: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Audience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     : menyebutkan siapa pelaku atau pengelola standar, siapa yang bertanggungjawab/ ditugasi dalam pencapaian standar tersebut.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Behaviour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    : menjelaskan kondisi/keadaan, tindakan, perilaku yang bersifat “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>should be</w:t>
            </w:r>
            <w:r w:rsidRPr="00B54DAE">
              <w:rPr>
                <w:rFonts w:ascii="Arial" w:hAnsi="Arial" w:cs="Arial"/>
                <w:sz w:val="24"/>
                <w:szCs w:val="24"/>
              </w:rPr>
              <w:t>” yang harus selalu dapat diukur.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Competence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: menjelaskan target/sasaran/tugas/materi/ objek dalam perilaku (</w:t>
            </w:r>
            <w:r w:rsidRPr="00B54DAE">
              <w:rPr>
                <w:rFonts w:ascii="Arial" w:hAnsi="Arial" w:cs="Arial"/>
                <w:i/>
                <w:sz w:val="24"/>
                <w:szCs w:val="24"/>
              </w:rPr>
              <w:t>behaviour</w:t>
            </w:r>
            <w:r w:rsidRPr="00B54DAE">
              <w:rPr>
                <w:rFonts w:ascii="Arial" w:hAnsi="Arial" w:cs="Arial"/>
                <w:sz w:val="24"/>
                <w:szCs w:val="24"/>
              </w:rPr>
              <w:t>) yang telah dirumuskan.</w:t>
            </w:r>
          </w:p>
          <w:p w:rsidR="00B445B4" w:rsidRPr="00B54DAE" w:rsidRDefault="00B445B4" w:rsidP="00147647">
            <w:pPr>
              <w:pStyle w:val="ListParagraph"/>
              <w:tabs>
                <w:tab w:val="left" w:pos="2058"/>
              </w:tabs>
              <w:spacing w:line="360" w:lineRule="auto"/>
              <w:ind w:left="2058" w:hanging="15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i/>
                <w:sz w:val="24"/>
                <w:szCs w:val="24"/>
              </w:rPr>
              <w:t>Degree</w:t>
            </w:r>
            <w:r w:rsidRPr="00B54DAE">
              <w:rPr>
                <w:rFonts w:ascii="Arial" w:hAnsi="Arial" w:cs="Arial"/>
                <w:sz w:val="24"/>
                <w:szCs w:val="24"/>
              </w:rPr>
              <w:t xml:space="preserve">          : menetapkan waktu/periode yang harus dicapai untuk mencapai atau melakukan tindakan/perilaku pada standar tersebut.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uji publik dengan mensosialisasikan draf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Standar </w:t>
            </w:r>
            <w:r w:rsidR="003D5CC4" w:rsidRPr="00B54DAE">
              <w:rPr>
                <w:rFonts w:ascii="Arial" w:hAnsi="Arial" w:cs="Arial"/>
                <w:sz w:val="24"/>
                <w:szCs w:val="24"/>
              </w:rPr>
              <w:t xml:space="preserve">pelaksana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dengan mengundang pemangku kepentingan internal dan/atau eksternal dalam rapat pleno atau seminar di lingkungan STKIP Muhammadiyah Aceh Barat Daya untuk mendapatkan saran dan masukan.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Menyempurnakan standar atau merumuskan kembali pernyataan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D40A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dengan memerhatikan hasil dari no.8.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pengeditan dan verifikasi pernyataan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D40ADE"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untuk memastikan tidak ada kesalahan gramatikal atau kesalahan penulisan</w:t>
            </w:r>
          </w:p>
          <w:p w:rsidR="00B445B4" w:rsidRPr="00B54DAE" w:rsidRDefault="00B445B4" w:rsidP="006E587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Mensahkan </w:t>
            </w:r>
            <w:r w:rsidR="003D5CC4" w:rsidRPr="00B54DAE">
              <w:rPr>
                <w:rFonts w:ascii="Arial" w:hAnsi="Arial" w:cs="Arial"/>
                <w:sz w:val="24"/>
                <w:szCs w:val="24"/>
              </w:rPr>
              <w:t xml:space="preserve">dan memberlakukan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D40ADE" w:rsidRPr="00B54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54DAE">
              <w:rPr>
                <w:rFonts w:ascii="Arial" w:hAnsi="Arial" w:cs="Arial"/>
                <w:sz w:val="24"/>
                <w:szCs w:val="24"/>
                <w:lang w:val="en-US"/>
              </w:rPr>
              <w:t>melalui penetapan dalam bentuk keputusan Ketua STKIP Muhammadiyah Aceh Barat Daya</w:t>
            </w:r>
          </w:p>
        </w:tc>
      </w:tr>
      <w:tr w:rsidR="00B445B4" w:rsidRPr="00B54DAE" w:rsidTr="0065540C">
        <w:trPr>
          <w:trHeight w:val="2186"/>
        </w:trPr>
        <w:tc>
          <w:tcPr>
            <w:tcW w:w="2660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Menjalankan Manual Penetapan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B445B4" w:rsidRPr="00B54DAE" w:rsidRDefault="00B445B4" w:rsidP="00D64F8F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54DAE">
              <w:rPr>
                <w:rFonts w:ascii="Arial" w:hAnsi="Arial" w:cs="Arial"/>
              </w:rPr>
              <w:t xml:space="preserve">Tim </w:t>
            </w:r>
            <w:r w:rsidR="00D64F8F">
              <w:rPr>
                <w:rFonts w:ascii="Arial" w:hAnsi="Arial" w:cs="Arial"/>
                <w:lang w:val="id-ID"/>
              </w:rPr>
              <w:t xml:space="preserve">SPMI </w:t>
            </w:r>
            <w:r w:rsidRPr="00B54DAE">
              <w:rPr>
                <w:rFonts w:ascii="Arial" w:hAnsi="Arial" w:cs="Arial"/>
              </w:rPr>
              <w:t>Perguruan Tinggi sebagai perancang dan koordinator, dengan melibatkan pimpinan STKIP Muhammadiyah Aceh Barat Daya dan semua unit</w:t>
            </w:r>
            <w:r w:rsidR="007B0C23" w:rsidRPr="00B54DAE">
              <w:rPr>
                <w:rFonts w:ascii="Arial" w:hAnsi="Arial" w:cs="Arial"/>
                <w:lang w:val="id-ID"/>
              </w:rPr>
              <w:t xml:space="preserve"> kerja</w:t>
            </w:r>
            <w:r w:rsidRPr="00B54DAE">
              <w:rPr>
                <w:rFonts w:ascii="Arial" w:hAnsi="Arial" w:cs="Arial"/>
              </w:rPr>
              <w:t>, serta para dosen, masing-masing sesuai dengan tugas, kewenangan dan bidang keahliannya.</w:t>
            </w:r>
          </w:p>
        </w:tc>
      </w:tr>
      <w:tr w:rsidR="00B445B4" w:rsidRPr="00B54DAE" w:rsidTr="0065540C">
        <w:tc>
          <w:tcPr>
            <w:tcW w:w="2660" w:type="dxa"/>
          </w:tcPr>
          <w:p w:rsidR="00B445B4" w:rsidRPr="00B54DAE" w:rsidRDefault="00B445B4" w:rsidP="006E587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54DAE"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6946" w:type="dxa"/>
          </w:tcPr>
          <w:p w:rsidR="00B445B4" w:rsidRPr="00B54DAE" w:rsidRDefault="00B445B4" w:rsidP="00147647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>Untuk melengkapi manual ini, dibutuhkan ketersediaan dokumen tertulis berupa :</w:t>
            </w:r>
          </w:p>
          <w:p w:rsidR="00B445B4" w:rsidRPr="00B54DAE" w:rsidRDefault="00B445B4" w:rsidP="006E5877">
            <w:pPr>
              <w:pStyle w:val="Default"/>
              <w:numPr>
                <w:ilvl w:val="1"/>
                <w:numId w:val="8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 xml:space="preserve">Daftar peraturan perundang-undangan </w:t>
            </w:r>
            <w:r w:rsidR="007B0C23" w:rsidRPr="00B54DAE">
              <w:rPr>
                <w:rFonts w:ascii="Arial" w:hAnsi="Arial" w:cs="Arial"/>
                <w:bCs/>
                <w:lang w:val="id-ID"/>
              </w:rPr>
              <w:t xml:space="preserve">terkait pelaksana </w:t>
            </w:r>
            <w:r w:rsidR="00D40ADE">
              <w:rPr>
                <w:rFonts w:ascii="Arial" w:hAnsi="Arial" w:cs="Arial"/>
                <w:bCs/>
                <w:lang w:val="id-ID"/>
              </w:rPr>
              <w:t>Evaluasi Kinerja</w:t>
            </w:r>
          </w:p>
          <w:p w:rsidR="00B445B4" w:rsidRPr="00B54DAE" w:rsidRDefault="00B445B4" w:rsidP="006E5877">
            <w:pPr>
              <w:pStyle w:val="Default"/>
              <w:numPr>
                <w:ilvl w:val="1"/>
                <w:numId w:val="8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>Ketersediaan peraturan dalam No. 1</w:t>
            </w:r>
          </w:p>
          <w:p w:rsidR="00B445B4" w:rsidRPr="00B54DAE" w:rsidRDefault="00B445B4" w:rsidP="006E5877">
            <w:pPr>
              <w:pStyle w:val="Default"/>
              <w:numPr>
                <w:ilvl w:val="1"/>
                <w:numId w:val="8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>Kuisioner untuk studi pelacakan atau untuk survey</w:t>
            </w:r>
          </w:p>
          <w:p w:rsidR="00B445B4" w:rsidRPr="00B54DAE" w:rsidRDefault="00B445B4" w:rsidP="006E5877">
            <w:pPr>
              <w:pStyle w:val="Default"/>
              <w:numPr>
                <w:ilvl w:val="1"/>
                <w:numId w:val="8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 w:rsidRPr="00B54DAE">
              <w:rPr>
                <w:rFonts w:ascii="Arial" w:hAnsi="Arial" w:cs="Arial"/>
                <w:bCs/>
              </w:rPr>
              <w:t xml:space="preserve">Formulir / </w:t>
            </w:r>
            <w:r w:rsidRPr="00B54DAE">
              <w:rPr>
                <w:rFonts w:ascii="Arial" w:hAnsi="Arial" w:cs="Arial"/>
                <w:bCs/>
                <w:i/>
              </w:rPr>
              <w:t>Tamplate</w:t>
            </w:r>
            <w:r w:rsidRPr="00B54DAE">
              <w:rPr>
                <w:rFonts w:ascii="Arial" w:hAnsi="Arial" w:cs="Arial"/>
                <w:bCs/>
              </w:rPr>
              <w:t xml:space="preserve"> standar</w:t>
            </w:r>
          </w:p>
        </w:tc>
      </w:tr>
    </w:tbl>
    <w:p w:rsidR="00B445B4" w:rsidRDefault="00B445B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066687" w:rsidRPr="000C7820" w:rsidTr="0071414B">
        <w:tc>
          <w:tcPr>
            <w:tcW w:w="1843" w:type="dxa"/>
            <w:vMerge w:val="restart"/>
            <w:vAlign w:val="center"/>
          </w:tcPr>
          <w:p w:rsidR="00066687" w:rsidRPr="000C7820" w:rsidRDefault="00066687" w:rsidP="0071414B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38C92D76" wp14:editId="18E1E3F5">
                  <wp:extent cx="1076325" cy="1047750"/>
                  <wp:effectExtent l="19050" t="0" r="9525" b="0"/>
                  <wp:docPr id="17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066687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066687" w:rsidRPr="000C7820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LPM-STKIPMABDYA/SPMI/MAN.25.02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0934" w:rsidRPr="00393B6E" w:rsidRDefault="00610934" w:rsidP="0061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AIK</w:t>
            </w:r>
          </w:p>
        </w:tc>
        <w:tc>
          <w:tcPr>
            <w:tcW w:w="4678" w:type="dxa"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3</w:t>
            </w:r>
          </w:p>
        </w:tc>
      </w:tr>
    </w:tbl>
    <w:p w:rsidR="00147647" w:rsidRPr="000C7820" w:rsidRDefault="00147647" w:rsidP="00147647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147647" w:rsidRDefault="00147647" w:rsidP="00147647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PELAKSANAAN </w:t>
      </w:r>
    </w:p>
    <w:p w:rsidR="00147647" w:rsidRDefault="0007639A" w:rsidP="00147647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STANDAR AIK</w:t>
      </w:r>
    </w:p>
    <w:p w:rsidR="00147647" w:rsidRPr="000C7820" w:rsidRDefault="00147647" w:rsidP="00147647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2E6C861A" wp14:editId="1461505D">
            <wp:extent cx="1809750" cy="1676400"/>
            <wp:effectExtent l="19050" t="0" r="0" b="0"/>
            <wp:docPr id="7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147647" w:rsidRPr="000C7820" w:rsidRDefault="00147647" w:rsidP="00147647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147647" w:rsidRPr="000C7820" w:rsidTr="0065540C">
        <w:tc>
          <w:tcPr>
            <w:tcW w:w="2125" w:type="dxa"/>
            <w:vMerge w:val="restart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147647" w:rsidRPr="000C7820" w:rsidTr="0065540C">
        <w:tc>
          <w:tcPr>
            <w:tcW w:w="2125" w:type="dxa"/>
            <w:vMerge/>
            <w:vAlign w:val="center"/>
          </w:tcPr>
          <w:p w:rsidR="00147647" w:rsidRPr="000C7820" w:rsidRDefault="00147647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6E587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147647" w:rsidRPr="00B445B4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6E587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6E587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6E587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7647" w:rsidRPr="000C7820" w:rsidTr="0065540C">
        <w:tc>
          <w:tcPr>
            <w:tcW w:w="2125" w:type="dxa"/>
            <w:vAlign w:val="center"/>
          </w:tcPr>
          <w:p w:rsidR="00147647" w:rsidRPr="000C7820" w:rsidRDefault="00147647" w:rsidP="006E5877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147647" w:rsidRPr="00B445B4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47647" w:rsidRPr="000C7820" w:rsidRDefault="00147647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E1DF4" w:rsidRDefault="008E1DF4" w:rsidP="00B445B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7002"/>
      </w:tblGrid>
      <w:tr w:rsidR="008E1DF4" w:rsidRPr="000C7820" w:rsidTr="00596204">
        <w:tc>
          <w:tcPr>
            <w:tcW w:w="2620" w:type="dxa"/>
          </w:tcPr>
          <w:p w:rsidR="008E1DF4" w:rsidRPr="000C7820" w:rsidRDefault="008E1DF4" w:rsidP="006E587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7002" w:type="dxa"/>
          </w:tcPr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E1DF4" w:rsidRPr="000C7820" w:rsidRDefault="008E1DF4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8E1DF4" w:rsidRPr="004E7C1D" w:rsidRDefault="008E1DF4" w:rsidP="006E5877">
            <w:pPr>
              <w:numPr>
                <w:ilvl w:val="0"/>
                <w:numId w:val="14"/>
              </w:numPr>
              <w:tabs>
                <w:tab w:val="clear" w:pos="720"/>
              </w:tabs>
              <w:spacing w:line="360" w:lineRule="auto"/>
              <w:ind w:left="49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8E1DF4" w:rsidRPr="004E7C1D" w:rsidRDefault="008E1DF4" w:rsidP="006E5877">
            <w:pPr>
              <w:numPr>
                <w:ilvl w:val="0"/>
                <w:numId w:val="14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8E1DF4" w:rsidRPr="00CF08FB" w:rsidRDefault="008E1DF4" w:rsidP="006E5877">
            <w:pPr>
              <w:numPr>
                <w:ilvl w:val="0"/>
                <w:numId w:val="14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6E587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7002" w:type="dxa"/>
          </w:tcPr>
          <w:p w:rsidR="008E1DF4" w:rsidRPr="00CF08FB" w:rsidRDefault="008E1DF4" w:rsidP="0081321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Pelaksanaan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D40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dimaksudkan  sebagai pemenuhan implementasi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D40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yang telah ditetapkan dalam penyelenggaraan pendidikan tinggi di tingkat Sekolah Tinggi, Program Studi, Lembaga dan Unit Pelaksana Teknis (UPT) dalam upaya peningkatan proses penyelenggaraan dan peningkatan mutu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8132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secara terus menerus dan berkelanjutan sehingga terciptanya budaya mutu di STKIP Muhammadiyah Aceh Barat Daya.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6E587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  <w:r w:rsidR="00D64F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Penggunaannya</w:t>
            </w:r>
          </w:p>
        </w:tc>
        <w:tc>
          <w:tcPr>
            <w:tcW w:w="7002" w:type="dxa"/>
          </w:tcPr>
          <w:p w:rsidR="008E1DF4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8E1DF4" w:rsidRDefault="008E1DF4" w:rsidP="006E587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9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Ketika sebuah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harus dilaksanakan dalam  </w:t>
            </w:r>
            <w:r w:rsidR="009F6134">
              <w:rPr>
                <w:rFonts w:ascii="Arial" w:hAnsi="Arial" w:cs="Arial"/>
                <w:sz w:val="24"/>
                <w:szCs w:val="24"/>
              </w:rPr>
              <w:t>implementasi 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oleh semua unit kerja pada semua aras;</w:t>
            </w:r>
          </w:p>
          <w:p w:rsidR="008E1DF4" w:rsidRPr="00760F2F" w:rsidRDefault="008E1DF4" w:rsidP="006E587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F2F"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semua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6E587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7002" w:type="dxa"/>
          </w:tcPr>
          <w:p w:rsidR="008E1DF4" w:rsidRDefault="008E1DF4" w:rsidP="006E5877">
            <w:pPr>
              <w:pStyle w:val="Default"/>
              <w:numPr>
                <w:ilvl w:val="0"/>
                <w:numId w:val="16"/>
              </w:numPr>
              <w:spacing w:line="360" w:lineRule="auto"/>
              <w:ind w:left="4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Melaksanakan </w:t>
            </w:r>
            <w:r w:rsidR="0007639A">
              <w:rPr>
                <w:rFonts w:ascii="Arial" w:hAnsi="Arial" w:cs="Arial"/>
              </w:rPr>
              <w:t xml:space="preserve">Standar </w:t>
            </w:r>
            <w:proofErr w:type="gramStart"/>
            <w:r w:rsidR="0007639A">
              <w:rPr>
                <w:rFonts w:ascii="Arial" w:hAnsi="Arial" w:cs="Arial"/>
              </w:rPr>
              <w:t>AIK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ukuran, spesifikasi, patokan, sebagaimana dinyatakan dalam pernyataan standar yang harus dipatuhi, dikerjakan, dan dipenuhi pencapaiannya.</w:t>
            </w:r>
          </w:p>
          <w:p w:rsidR="008E1DF4" w:rsidRDefault="008E1DF4" w:rsidP="006E5877">
            <w:pPr>
              <w:pStyle w:val="Default"/>
              <w:numPr>
                <w:ilvl w:val="0"/>
                <w:numId w:val="16"/>
              </w:numPr>
              <w:spacing w:line="360" w:lineRule="auto"/>
              <w:ind w:left="45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Manual :</w:t>
            </w:r>
            <w:proofErr w:type="gramEnd"/>
            <w:r>
              <w:rPr>
                <w:rFonts w:ascii="Arial" w:hAnsi="Arial" w:cs="Arial"/>
              </w:rPr>
              <w:t xml:space="preserve"> uraian tentang urutan langkah untuk mencapai sesuatu yang ditulis secara sistematis, kronologis, logis, dan koheren.</w:t>
            </w:r>
          </w:p>
          <w:p w:rsidR="008E1DF4" w:rsidRPr="009F6134" w:rsidRDefault="008E1DF4" w:rsidP="006E5877">
            <w:pPr>
              <w:pStyle w:val="Default"/>
              <w:numPr>
                <w:ilvl w:val="0"/>
                <w:numId w:val="16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Instruksi kerja : rincian daftar tugas yang harus dilakukan oleh penerima tugas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6E587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Langkah-langkah atau Prosedur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7002" w:type="dxa"/>
          </w:tcPr>
          <w:p w:rsidR="008E1DF4" w:rsidRDefault="008E1DF4" w:rsidP="006E587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99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persiapan </w:t>
            </w:r>
            <w:r w:rsidR="001E6A43">
              <w:rPr>
                <w:rFonts w:ascii="Arial" w:hAnsi="Arial" w:cs="Arial"/>
                <w:sz w:val="24"/>
                <w:szCs w:val="24"/>
                <w:lang w:val="en-US"/>
              </w:rPr>
              <w:t>teknis dan/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atau administratif pelaksanaan </w:t>
            </w:r>
            <w:r w:rsidR="00A95127">
              <w:rPr>
                <w:rFonts w:ascii="Arial" w:hAnsi="Arial" w:cs="Arial"/>
                <w:sz w:val="24"/>
                <w:szCs w:val="24"/>
              </w:rPr>
              <w:t>Evaluasi kinerja</w:t>
            </w:r>
            <w:r w:rsidR="001E6A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yang disesuaikan dengan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  <w:p w:rsidR="008E1DF4" w:rsidRDefault="008E1DF4" w:rsidP="006E587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Menyiapkan </w:t>
            </w:r>
            <w:r w:rsidR="001E6A43">
              <w:rPr>
                <w:rFonts w:ascii="Arial" w:hAnsi="Arial" w:cs="Arial"/>
                <w:sz w:val="24"/>
                <w:szCs w:val="24"/>
              </w:rPr>
              <w:t xml:space="preserve">dokumen tertulis berupa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prosedur kerja / Standar Operasional Prosedur (SOP), instruksi kerja atau sejenisnya sesuai dengan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untuk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pelaksanaan isi standar ya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>ng telah ditetapkan</w:t>
            </w:r>
          </w:p>
          <w:p w:rsidR="008E1DF4" w:rsidRDefault="008E1DF4" w:rsidP="006E587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sosialisasi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kepada seluruh </w:t>
            </w:r>
            <w:r w:rsidR="001E6A43">
              <w:rPr>
                <w:rFonts w:ascii="Arial" w:hAnsi="Arial" w:cs="Arial"/>
                <w:sz w:val="24"/>
                <w:szCs w:val="24"/>
              </w:rPr>
              <w:t xml:space="preserve">dosen, tenaga kependidikan, dan mahasiswa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secara periodik dan konsisten.</w:t>
            </w:r>
          </w:p>
          <w:p w:rsidR="008E1DF4" w:rsidRDefault="0060006C" w:rsidP="006E5877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Pastikan ketercapaian indikator pelaksana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dengan menggunakan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sebagai tolak ukur pencapaian.</w:t>
            </w:r>
          </w:p>
          <w:p w:rsidR="008E1DF4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E1DF4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Secara garis besar, tahap pelaksanaan atau pemenuhan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dapat digambarkan dalam bagan berikut :</w:t>
            </w:r>
          </w:p>
          <w:p w:rsidR="008E1DF4" w:rsidRPr="0011025B" w:rsidRDefault="008E1DF4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025B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4D788531" wp14:editId="239A9287">
                  <wp:extent cx="4309607" cy="2242268"/>
                  <wp:effectExtent l="0" t="0" r="0" b="5715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8E1DF4" w:rsidRPr="000C7820" w:rsidTr="00D64F8F">
        <w:trPr>
          <w:trHeight w:val="410"/>
        </w:trPr>
        <w:tc>
          <w:tcPr>
            <w:tcW w:w="2620" w:type="dxa"/>
          </w:tcPr>
          <w:p w:rsidR="008E1DF4" w:rsidRPr="000C7820" w:rsidRDefault="008E1DF4" w:rsidP="006E587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Melaksanakan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7002" w:type="dxa"/>
          </w:tcPr>
          <w:p w:rsidR="008E1DF4" w:rsidRDefault="008E1DF4" w:rsidP="0065540C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melaksanakan </w:t>
            </w:r>
            <w:r w:rsidR="0007639A">
              <w:rPr>
                <w:rFonts w:ascii="Arial" w:hAnsi="Arial" w:cs="Arial"/>
              </w:rPr>
              <w:t>Standar AIK</w:t>
            </w:r>
            <w:r w:rsidR="00D64F8F">
              <w:rPr>
                <w:rFonts w:ascii="Arial" w:hAnsi="Arial" w:cs="Arial"/>
              </w:rPr>
              <w:t xml:space="preserve"> adalah :</w:t>
            </w:r>
          </w:p>
          <w:p w:rsidR="0060006C" w:rsidRDefault="0060006C" w:rsidP="006E5877">
            <w:pPr>
              <w:pStyle w:val="Default"/>
              <w:numPr>
                <w:ilvl w:val="0"/>
                <w:numId w:val="12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Unit khusus pengelola </w:t>
            </w:r>
            <w:r w:rsidR="0007639A">
              <w:rPr>
                <w:rFonts w:ascii="Arial" w:hAnsi="Arial" w:cs="Arial"/>
                <w:lang w:val="id-ID"/>
              </w:rPr>
              <w:t>Standar AIK</w:t>
            </w:r>
            <w:r>
              <w:rPr>
                <w:rFonts w:ascii="Arial" w:hAnsi="Arial" w:cs="Arial"/>
                <w:lang w:val="id-ID"/>
              </w:rPr>
              <w:t xml:space="preserve"> sesuai dengan tugas pokok dan fungsinya</w:t>
            </w:r>
          </w:p>
          <w:p w:rsidR="008E1DF4" w:rsidRDefault="008E1DF4" w:rsidP="006E5877">
            <w:pPr>
              <w:pStyle w:val="Default"/>
              <w:numPr>
                <w:ilvl w:val="0"/>
                <w:numId w:val="12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Pejabat struktural dengan bidang pekerjaan yang diatur </w:t>
            </w:r>
            <w:r w:rsidR="0007639A">
              <w:rPr>
                <w:rFonts w:ascii="Arial" w:hAnsi="Arial" w:cs="Arial"/>
                <w:lang w:val="id-ID"/>
              </w:rPr>
              <w:t>Standar AIK</w:t>
            </w:r>
            <w:r w:rsidR="0060006C">
              <w:rPr>
                <w:rFonts w:ascii="Arial" w:hAnsi="Arial" w:cs="Arial"/>
                <w:lang w:val="id-ID"/>
              </w:rPr>
              <w:t xml:space="preserve"> yang bersangkutan</w:t>
            </w:r>
          </w:p>
          <w:p w:rsidR="008E1DF4" w:rsidRPr="000C7820" w:rsidRDefault="0060006C" w:rsidP="006E5877">
            <w:pPr>
              <w:pStyle w:val="Default"/>
              <w:numPr>
                <w:ilvl w:val="0"/>
                <w:numId w:val="12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Mereka yang secara eksplisit disebut di dalam pernyataan </w:t>
            </w:r>
            <w:r w:rsidR="0007639A">
              <w:rPr>
                <w:rFonts w:ascii="Arial" w:hAnsi="Arial" w:cs="Arial"/>
                <w:lang w:val="id-ID"/>
              </w:rPr>
              <w:t>Standar AIK</w:t>
            </w:r>
            <w:r>
              <w:rPr>
                <w:rFonts w:ascii="Arial" w:hAnsi="Arial" w:cs="Arial"/>
                <w:lang w:val="id-ID"/>
              </w:rPr>
              <w:t xml:space="preserve"> yang bersangkutan</w:t>
            </w:r>
          </w:p>
        </w:tc>
      </w:tr>
      <w:tr w:rsidR="008E1DF4" w:rsidRPr="000C7820" w:rsidTr="00596204">
        <w:tc>
          <w:tcPr>
            <w:tcW w:w="2620" w:type="dxa"/>
          </w:tcPr>
          <w:p w:rsidR="008E1DF4" w:rsidRPr="000C7820" w:rsidRDefault="008E1DF4" w:rsidP="006E587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7002" w:type="dxa"/>
          </w:tcPr>
          <w:p w:rsidR="008E1DF4" w:rsidRPr="0060006C" w:rsidRDefault="008E1DF4" w:rsidP="0060006C">
            <w:pPr>
              <w:pStyle w:val="Default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Untuk melengkapi manual ini, dibutuhkan ketersediaan dokumen tertulis berupa prosedur kerja atau SOP, instruksi kerja, atau sejenisnya tentang suatu kegiatan sesuai isi </w:t>
            </w:r>
            <w:r w:rsidR="0060006C">
              <w:rPr>
                <w:rFonts w:ascii="Arial" w:hAnsi="Arial" w:cs="Arial"/>
                <w:bCs/>
                <w:lang w:val="id-ID"/>
              </w:rPr>
              <w:t xml:space="preserve">setiap pernyataan </w:t>
            </w:r>
            <w:r w:rsidR="0007639A">
              <w:rPr>
                <w:rFonts w:ascii="Arial" w:hAnsi="Arial" w:cs="Arial"/>
                <w:bCs/>
                <w:lang w:val="id-ID"/>
              </w:rPr>
              <w:t>Standar AIK</w:t>
            </w:r>
          </w:p>
        </w:tc>
      </w:tr>
    </w:tbl>
    <w:p w:rsidR="00D64F8F" w:rsidRDefault="00D64F8F"/>
    <w:p w:rsidR="00D64F8F" w:rsidRDefault="00D64F8F">
      <w: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066687" w:rsidRPr="000C7820" w:rsidTr="0071414B">
        <w:tc>
          <w:tcPr>
            <w:tcW w:w="1843" w:type="dxa"/>
            <w:vMerge w:val="restart"/>
            <w:vAlign w:val="center"/>
          </w:tcPr>
          <w:p w:rsidR="00066687" w:rsidRPr="000C7820" w:rsidRDefault="00066687" w:rsidP="0071414B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3DD26AAB" wp14:editId="4C52EDE0">
                  <wp:extent cx="1076325" cy="1047750"/>
                  <wp:effectExtent l="19050" t="0" r="9525" b="0"/>
                  <wp:docPr id="18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066687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066687" w:rsidRPr="000C7820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LPM-STKIPMABDYA/SPMI/MAN.25.03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0934" w:rsidRPr="00393B6E" w:rsidRDefault="00610934" w:rsidP="0061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Evaluasi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AIK</w:t>
            </w:r>
          </w:p>
        </w:tc>
        <w:tc>
          <w:tcPr>
            <w:tcW w:w="4678" w:type="dxa"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4</w:t>
            </w:r>
          </w:p>
        </w:tc>
      </w:tr>
    </w:tbl>
    <w:p w:rsidR="00737260" w:rsidRPr="000C7820" w:rsidRDefault="00737260" w:rsidP="00737260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737260" w:rsidRDefault="00737260" w:rsidP="0073726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EVALUASI PELAKSANAAN </w:t>
      </w:r>
    </w:p>
    <w:p w:rsidR="00737260" w:rsidRDefault="0007639A" w:rsidP="00737260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STANDAR AIK</w:t>
      </w:r>
    </w:p>
    <w:p w:rsidR="00737260" w:rsidRPr="000C7820" w:rsidRDefault="00737260" w:rsidP="00737260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415EDB67" wp14:editId="6F13E7D7">
            <wp:extent cx="1809750" cy="1676400"/>
            <wp:effectExtent l="19050" t="0" r="0" b="0"/>
            <wp:docPr id="9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60" w:rsidRPr="000C7820" w:rsidRDefault="00737260" w:rsidP="00737260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737260" w:rsidRPr="000C7820" w:rsidTr="0065540C">
        <w:tc>
          <w:tcPr>
            <w:tcW w:w="2125" w:type="dxa"/>
            <w:vMerge w:val="restart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737260" w:rsidRPr="000C7820" w:rsidTr="0065540C">
        <w:tc>
          <w:tcPr>
            <w:tcW w:w="2125" w:type="dxa"/>
            <w:vMerge/>
            <w:vAlign w:val="center"/>
          </w:tcPr>
          <w:p w:rsidR="00737260" w:rsidRPr="000C7820" w:rsidRDefault="00737260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6E58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737260" w:rsidRPr="00B445B4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6E58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6E58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6E58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7260" w:rsidRPr="000C7820" w:rsidTr="0065540C">
        <w:tc>
          <w:tcPr>
            <w:tcW w:w="2125" w:type="dxa"/>
            <w:vAlign w:val="center"/>
          </w:tcPr>
          <w:p w:rsidR="00737260" w:rsidRPr="000C7820" w:rsidRDefault="00737260" w:rsidP="006E5877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737260" w:rsidRPr="00B445B4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37260" w:rsidRPr="000C7820" w:rsidRDefault="00737260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B016D" w:rsidRDefault="001B016D" w:rsidP="00B445B4">
      <w:pPr>
        <w:rPr>
          <w:rFonts w:ascii="Arial" w:hAnsi="Arial" w:cs="Arial"/>
          <w:sz w:val="24"/>
          <w:szCs w:val="24"/>
          <w:lang w:val="en-US"/>
        </w:rPr>
      </w:pPr>
    </w:p>
    <w:p w:rsidR="001B016D" w:rsidRDefault="001B01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7176"/>
      </w:tblGrid>
      <w:tr w:rsidR="001B016D" w:rsidRPr="000C7820" w:rsidTr="0065540C">
        <w:tc>
          <w:tcPr>
            <w:tcW w:w="2660" w:type="dxa"/>
          </w:tcPr>
          <w:p w:rsidR="001B016D" w:rsidRPr="000C7820" w:rsidRDefault="001B016D" w:rsidP="006E58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16D" w:rsidRPr="000C7820" w:rsidRDefault="001B016D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1B016D" w:rsidRDefault="001B016D" w:rsidP="006E5877">
            <w:pPr>
              <w:numPr>
                <w:ilvl w:val="0"/>
                <w:numId w:val="22"/>
              </w:numPr>
              <w:tabs>
                <w:tab w:val="clear" w:pos="720"/>
              </w:tabs>
              <w:spacing w:line="360" w:lineRule="auto"/>
              <w:ind w:left="38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1B016D" w:rsidRDefault="001B016D" w:rsidP="006E5877">
            <w:pPr>
              <w:numPr>
                <w:ilvl w:val="0"/>
                <w:numId w:val="22"/>
              </w:numPr>
              <w:tabs>
                <w:tab w:val="clear" w:pos="720"/>
              </w:tabs>
              <w:spacing w:line="360" w:lineRule="auto"/>
              <w:ind w:left="38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B01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1B016D" w:rsidRPr="001B016D" w:rsidRDefault="001B016D" w:rsidP="006E5877">
            <w:pPr>
              <w:numPr>
                <w:ilvl w:val="0"/>
                <w:numId w:val="22"/>
              </w:numPr>
              <w:tabs>
                <w:tab w:val="clear" w:pos="720"/>
              </w:tabs>
              <w:spacing w:line="360" w:lineRule="auto"/>
              <w:ind w:left="38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B01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6E58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Evaluasi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1B016D" w:rsidRPr="008C7D43" w:rsidRDefault="008C7D43" w:rsidP="008C7D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Untuk melakukan evaluasi pelaksanaan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sehingga pelaksanaan isi standar dapat dikendalikan.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6E58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Evaluasi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  <w:r w:rsidR="008C7D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dan Penggunaannya</w:t>
            </w:r>
          </w:p>
        </w:tc>
        <w:tc>
          <w:tcPr>
            <w:tcW w:w="6946" w:type="dxa"/>
          </w:tcPr>
          <w:p w:rsidR="001B016D" w:rsidRPr="008C7D43" w:rsidRDefault="008C7D43" w:rsidP="008C7D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ini berlaku :</w:t>
            </w:r>
          </w:p>
          <w:p w:rsidR="008C7D43" w:rsidRPr="008C7D43" w:rsidRDefault="008C7D43" w:rsidP="006E587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Sebelum pengendalian pelaksanaan isi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: diperlukan pemantauan atau pengawasan, pengecekan atau pemeriksanaan, atau evaluasi secara berkelanjutan apakah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telah dapat dicapai dan dipenuhi</w:t>
            </w:r>
          </w:p>
          <w:p w:rsidR="008C7D43" w:rsidRPr="00FB2C14" w:rsidRDefault="008C7D43" w:rsidP="006E587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Untuk semua isi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6E58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1B016D" w:rsidRDefault="001B016D" w:rsidP="006E5877">
            <w:pPr>
              <w:pStyle w:val="Default"/>
              <w:numPr>
                <w:ilvl w:val="0"/>
                <w:numId w:val="23"/>
              </w:numPr>
              <w:spacing w:line="360" w:lineRule="auto"/>
              <w:ind w:left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Evaluasi : melaksanakan pengukuran atas suatu proses atau suatu kegiatan agar diketahui apakah proses atau kegiatan tersebut dilaksanakan sesuai dengan isi </w:t>
            </w:r>
            <w:r w:rsidR="0007639A">
              <w:rPr>
                <w:rFonts w:ascii="Arial" w:hAnsi="Arial" w:cs="Arial"/>
              </w:rPr>
              <w:t>Standar AIK</w:t>
            </w:r>
          </w:p>
          <w:p w:rsidR="001B016D" w:rsidRPr="00EC7690" w:rsidRDefault="001B016D" w:rsidP="006E5877">
            <w:pPr>
              <w:pStyle w:val="Default"/>
              <w:numPr>
                <w:ilvl w:val="0"/>
                <w:numId w:val="23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Pemeriksaan : mengecek atau mengaudit secara rinci semua aspek penyelenggaraan pendidikan tinggi yang dilakukan secara berkala, untuk mencocokkan apakah semua penyelenggaraan pendidikan tinggi tersebut telah berjalan sesuai dengan isi </w:t>
            </w:r>
            <w:r w:rsidR="0007639A">
              <w:rPr>
                <w:rFonts w:ascii="Arial" w:hAnsi="Arial" w:cs="Arial"/>
              </w:rPr>
              <w:t>Standar AIK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6E58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Langkah-langkah atau Prosedur Evaluasi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1B016D" w:rsidRDefault="001B016D" w:rsidP="006E587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53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pemantauan secara periodik (harian, mingguan, bulanan, atau semesteran) terhadap </w:t>
            </w:r>
            <w:r w:rsidR="00EC7690">
              <w:rPr>
                <w:rFonts w:ascii="Arial" w:hAnsi="Arial" w:cs="Arial"/>
                <w:sz w:val="24"/>
                <w:szCs w:val="24"/>
              </w:rPr>
              <w:t>ketercapaian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isi </w:t>
            </w:r>
            <w:r w:rsidR="00EC7690">
              <w:rPr>
                <w:rFonts w:ascii="Arial" w:hAnsi="Arial" w:cs="Arial"/>
                <w:sz w:val="24"/>
                <w:szCs w:val="24"/>
              </w:rPr>
              <w:t xml:space="preserve">semua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  <w:p w:rsidR="001B016D" w:rsidRDefault="001B016D" w:rsidP="006E587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Melakukan catatan atau rekaman atas semua temuan berupa penyimpangan, kelalaian, kesalahan atau sejenisnya dari</w:t>
            </w:r>
            <w:r w:rsidR="00EC7690">
              <w:rPr>
                <w:rFonts w:ascii="Arial" w:hAnsi="Arial" w:cs="Arial"/>
                <w:sz w:val="24"/>
                <w:szCs w:val="24"/>
                <w:lang w:val="en-US"/>
              </w:rPr>
              <w:t xml:space="preserve"> pelaksana</w:t>
            </w:r>
            <w:r w:rsidR="00596204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 w:rsidR="005962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yang tidak sesuai dengan isi standar.</w:t>
            </w:r>
          </w:p>
          <w:p w:rsidR="001B016D" w:rsidRDefault="001B016D" w:rsidP="006E587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Melakukan pencatatan bila ditemukan ketidaklengkapan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dokumen seperti prosedur kerja dan formulir dari setiap standar yang telah dilaksanakan.</w:t>
            </w:r>
          </w:p>
          <w:p w:rsidR="001B016D" w:rsidRDefault="001B016D" w:rsidP="006E587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Memeriksa dan mempelajari alasan atau penyebab terjadinya penyimpangan dari isi standar, atau bila isi standar gagal dicapai.</w:t>
            </w:r>
          </w:p>
          <w:p w:rsidR="001B016D" w:rsidRPr="0029390F" w:rsidRDefault="001B016D" w:rsidP="006E587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Membuat laporan </w:t>
            </w:r>
            <w:r w:rsidR="0029390F">
              <w:rPr>
                <w:rFonts w:ascii="Arial" w:hAnsi="Arial" w:cs="Arial"/>
                <w:sz w:val="24"/>
                <w:szCs w:val="24"/>
              </w:rPr>
              <w:t>tertulis secara periodik tentang</w:t>
            </w:r>
            <w:r w:rsidR="005962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90F">
              <w:rPr>
                <w:rFonts w:ascii="Arial" w:hAnsi="Arial" w:cs="Arial"/>
                <w:sz w:val="24"/>
                <w:szCs w:val="24"/>
              </w:rPr>
              <w:t>semua hasil pengukuran di atas</w:t>
            </w:r>
            <w:r w:rsidR="00F624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390F" w:rsidRDefault="00F624A3" w:rsidP="006E587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Laporkan hasil pengukuran ketercapaian isi semua </w:t>
            </w:r>
            <w:r w:rsidR="0007639A">
              <w:rPr>
                <w:rFonts w:ascii="Arial" w:hAnsi="Arial" w:cs="Arial"/>
                <w:sz w:val="24"/>
                <w:szCs w:val="24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kepada pimpinan unit kerja dan pimpinan STKIP Muhammmadiyah Aceh Barat Daya, disertai saran atau rekomendasi pengendalian.</w:t>
            </w:r>
          </w:p>
          <w:p w:rsidR="001B016D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16D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Secara garis besar, tahap pelaksanaan atau pemenuhan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dapat digambarkan dalam bagan berikut :</w:t>
            </w:r>
          </w:p>
          <w:p w:rsidR="001B016D" w:rsidRPr="00FB2C14" w:rsidRDefault="001B016D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24A3">
              <w:rPr>
                <w:rFonts w:ascii="Arial" w:hAnsi="Arial" w:cs="Arial"/>
                <w:noProof/>
                <w:sz w:val="32"/>
                <w:szCs w:val="24"/>
                <w:lang w:eastAsia="id-ID"/>
              </w:rPr>
              <w:drawing>
                <wp:inline distT="0" distB="0" distL="0" distR="0" wp14:anchorId="021DC8CF" wp14:editId="4BAD4CE5">
                  <wp:extent cx="4419600" cy="3476625"/>
                  <wp:effectExtent l="0" t="0" r="0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1B016D" w:rsidRPr="000C7820" w:rsidTr="0065540C">
        <w:trPr>
          <w:trHeight w:val="2186"/>
        </w:trPr>
        <w:tc>
          <w:tcPr>
            <w:tcW w:w="2660" w:type="dxa"/>
          </w:tcPr>
          <w:p w:rsidR="001B016D" w:rsidRPr="000C7820" w:rsidRDefault="001B016D" w:rsidP="006E58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Melakukan Evaluasi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1B016D" w:rsidRDefault="001B016D" w:rsidP="0065540C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melakukan evaluasi pelaksanaan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adalah :</w:t>
            </w:r>
          </w:p>
          <w:p w:rsidR="001B016D" w:rsidRDefault="001B016D" w:rsidP="006E5877">
            <w:pPr>
              <w:pStyle w:val="Default"/>
              <w:numPr>
                <w:ilvl w:val="0"/>
                <w:numId w:val="25"/>
              </w:numPr>
              <w:spacing w:line="360" w:lineRule="auto"/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khusus </w:t>
            </w:r>
            <w:r w:rsidR="00596204">
              <w:rPr>
                <w:rFonts w:ascii="Arial" w:hAnsi="Arial" w:cs="Arial"/>
                <w:lang w:val="id-ID"/>
              </w:rPr>
              <w:t>SPMI</w:t>
            </w:r>
            <w:r>
              <w:rPr>
                <w:rFonts w:ascii="Arial" w:hAnsi="Arial" w:cs="Arial"/>
              </w:rPr>
              <w:t xml:space="preserve"> sesuai dengan tugas pokok dan fungsinya dan Tim Monitoring dan Evaluasi.</w:t>
            </w:r>
          </w:p>
          <w:p w:rsidR="001B016D" w:rsidRDefault="001B016D" w:rsidP="006E5877">
            <w:pPr>
              <w:pStyle w:val="Default"/>
              <w:numPr>
                <w:ilvl w:val="0"/>
                <w:numId w:val="25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Pejabat struktural dengan bidang pekerjaan yang diatur oleh </w:t>
            </w:r>
            <w:r w:rsidR="0007639A">
              <w:rPr>
                <w:rFonts w:ascii="Arial" w:hAnsi="Arial" w:cs="Arial"/>
              </w:rPr>
              <w:t>Standar AIK</w:t>
            </w:r>
            <w:r w:rsidR="005962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yang bersangkutan.</w:t>
            </w:r>
          </w:p>
          <w:p w:rsidR="001B016D" w:rsidRPr="000C7820" w:rsidRDefault="001B016D" w:rsidP="006E5877">
            <w:pPr>
              <w:pStyle w:val="Default"/>
              <w:numPr>
                <w:ilvl w:val="0"/>
                <w:numId w:val="25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Mereka yang secara eksplisit disebut di dalam pernyataan </w:t>
            </w:r>
            <w:r w:rsidR="0007639A">
              <w:rPr>
                <w:rFonts w:ascii="Arial" w:hAnsi="Arial" w:cs="Arial"/>
              </w:rPr>
              <w:t>Standar AIK</w:t>
            </w:r>
            <w:r w:rsidR="005962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yang bersangkutan.</w:t>
            </w:r>
          </w:p>
        </w:tc>
      </w:tr>
      <w:tr w:rsidR="001B016D" w:rsidRPr="000C7820" w:rsidTr="0065540C">
        <w:tc>
          <w:tcPr>
            <w:tcW w:w="2660" w:type="dxa"/>
          </w:tcPr>
          <w:p w:rsidR="001B016D" w:rsidRPr="000C7820" w:rsidRDefault="001B016D" w:rsidP="006E58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6946" w:type="dxa"/>
          </w:tcPr>
          <w:p w:rsidR="001B016D" w:rsidRDefault="001B016D" w:rsidP="0065540C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Untuk melengkapi manual ini, dibutuhkan ketersediaan dokumen tertulis berupa :</w:t>
            </w:r>
          </w:p>
          <w:p w:rsidR="001B016D" w:rsidRDefault="001B016D" w:rsidP="006E5877">
            <w:pPr>
              <w:pStyle w:val="Default"/>
              <w:numPr>
                <w:ilvl w:val="0"/>
                <w:numId w:val="19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Prosedur Evaluasi Pelaksanaan </w:t>
            </w:r>
            <w:r w:rsidR="0007639A">
              <w:rPr>
                <w:rFonts w:ascii="Arial" w:hAnsi="Arial" w:cs="Arial"/>
                <w:bCs/>
              </w:rPr>
              <w:t>Standar AIK</w:t>
            </w:r>
          </w:p>
          <w:p w:rsidR="001B016D" w:rsidRDefault="001B016D" w:rsidP="006E5877">
            <w:pPr>
              <w:pStyle w:val="Default"/>
              <w:numPr>
                <w:ilvl w:val="0"/>
                <w:numId w:val="19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Evaluasi Pelaksanaan </w:t>
            </w:r>
            <w:r w:rsidR="0007639A">
              <w:rPr>
                <w:rFonts w:ascii="Arial" w:hAnsi="Arial" w:cs="Arial"/>
                <w:bCs/>
              </w:rPr>
              <w:t>Standar AIK</w:t>
            </w:r>
          </w:p>
          <w:p w:rsidR="001B016D" w:rsidRPr="00A02812" w:rsidRDefault="001B016D" w:rsidP="006E5877">
            <w:pPr>
              <w:pStyle w:val="Default"/>
              <w:numPr>
                <w:ilvl w:val="0"/>
                <w:numId w:val="19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Hasil Evaluasi Pelaksaan </w:t>
            </w:r>
            <w:r w:rsidR="0007639A">
              <w:rPr>
                <w:rFonts w:ascii="Arial" w:hAnsi="Arial" w:cs="Arial"/>
                <w:bCs/>
              </w:rPr>
              <w:t>Standar AIK</w:t>
            </w:r>
          </w:p>
        </w:tc>
      </w:tr>
    </w:tbl>
    <w:p w:rsidR="00B445B4" w:rsidRDefault="00B445B4" w:rsidP="00B445B4">
      <w:pPr>
        <w:rPr>
          <w:rFonts w:ascii="Arial" w:hAnsi="Arial" w:cs="Arial"/>
          <w:sz w:val="24"/>
          <w:szCs w:val="24"/>
          <w:lang w:val="en-US"/>
        </w:rPr>
      </w:pPr>
    </w:p>
    <w:p w:rsidR="00341C5F" w:rsidRDefault="00341C5F" w:rsidP="00B445B4">
      <w:pPr>
        <w:rPr>
          <w:rFonts w:ascii="Arial" w:hAnsi="Arial" w:cs="Arial"/>
          <w:sz w:val="24"/>
          <w:szCs w:val="24"/>
          <w:lang w:val="en-US"/>
        </w:rPr>
      </w:pPr>
    </w:p>
    <w:p w:rsidR="00341C5F" w:rsidRDefault="00341C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066687" w:rsidRPr="000C7820" w:rsidTr="0071414B">
        <w:tc>
          <w:tcPr>
            <w:tcW w:w="1843" w:type="dxa"/>
            <w:vMerge w:val="restart"/>
            <w:vAlign w:val="center"/>
          </w:tcPr>
          <w:p w:rsidR="00066687" w:rsidRPr="000C7820" w:rsidRDefault="00066687" w:rsidP="0071414B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3DD26AAB" wp14:editId="4C52EDE0">
                  <wp:extent cx="1076325" cy="1047750"/>
                  <wp:effectExtent l="19050" t="0" r="9525" b="0"/>
                  <wp:docPr id="19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066687" w:rsidRPr="000C7820" w:rsidRDefault="00066687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066687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066687" w:rsidRPr="000C7820" w:rsidRDefault="00066687" w:rsidP="0071414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LPM-STKIPMABDYA/SPMI/MAN.25.04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0934" w:rsidRPr="00393B6E" w:rsidRDefault="00610934" w:rsidP="0061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Pengendalian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AIK</w:t>
            </w:r>
          </w:p>
        </w:tc>
        <w:tc>
          <w:tcPr>
            <w:tcW w:w="4678" w:type="dxa"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3</w:t>
            </w:r>
          </w:p>
        </w:tc>
      </w:tr>
    </w:tbl>
    <w:p w:rsidR="00341C5F" w:rsidRPr="000C7820" w:rsidRDefault="00341C5F" w:rsidP="00341C5F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341C5F" w:rsidRDefault="00341C5F" w:rsidP="00341C5F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PENGENDALIAN PELAKSANAAN </w:t>
      </w:r>
    </w:p>
    <w:p w:rsidR="00341C5F" w:rsidRDefault="0007639A" w:rsidP="00341C5F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STANDAR AIK</w:t>
      </w:r>
    </w:p>
    <w:p w:rsidR="00341C5F" w:rsidRPr="000C7820" w:rsidRDefault="00341C5F" w:rsidP="00341C5F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16C487B2" wp14:editId="0C96879E">
            <wp:extent cx="1809750" cy="1676400"/>
            <wp:effectExtent l="19050" t="0" r="0" b="0"/>
            <wp:docPr id="12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5F" w:rsidRPr="000C7820" w:rsidRDefault="00341C5F" w:rsidP="00341C5F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341C5F" w:rsidRPr="000C7820" w:rsidTr="0065540C">
        <w:tc>
          <w:tcPr>
            <w:tcW w:w="2125" w:type="dxa"/>
            <w:vMerge w:val="restart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341C5F" w:rsidRPr="000C7820" w:rsidTr="0065540C">
        <w:tc>
          <w:tcPr>
            <w:tcW w:w="2125" w:type="dxa"/>
            <w:vMerge/>
            <w:vAlign w:val="center"/>
          </w:tcPr>
          <w:p w:rsidR="00341C5F" w:rsidRPr="000C7820" w:rsidRDefault="00341C5F" w:rsidP="00655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341C5F" w:rsidRPr="00B445B4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1C5F" w:rsidRPr="000C7820" w:rsidTr="0065540C">
        <w:tc>
          <w:tcPr>
            <w:tcW w:w="2125" w:type="dxa"/>
            <w:vAlign w:val="center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341C5F" w:rsidRPr="00B445B4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41C5F" w:rsidRPr="000C7820" w:rsidRDefault="00341C5F" w:rsidP="0065540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41C5F" w:rsidRDefault="00341C5F" w:rsidP="00341C5F">
      <w:pPr>
        <w:rPr>
          <w:rFonts w:ascii="Arial" w:hAnsi="Arial" w:cs="Arial"/>
          <w:sz w:val="24"/>
          <w:szCs w:val="24"/>
          <w:lang w:val="en-US"/>
        </w:rPr>
      </w:pPr>
    </w:p>
    <w:p w:rsidR="00341C5F" w:rsidRDefault="00341C5F" w:rsidP="00B445B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341C5F" w:rsidRPr="000C7820" w:rsidTr="0065540C">
        <w:tc>
          <w:tcPr>
            <w:tcW w:w="2660" w:type="dxa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2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41C5F" w:rsidRPr="000C7820" w:rsidRDefault="00341C5F" w:rsidP="006554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341C5F" w:rsidRPr="004E7C1D" w:rsidRDefault="00341C5F" w:rsidP="006E5877">
            <w:pPr>
              <w:numPr>
                <w:ilvl w:val="0"/>
                <w:numId w:val="28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341C5F" w:rsidRPr="004E7C1D" w:rsidRDefault="00341C5F" w:rsidP="006E5877">
            <w:pPr>
              <w:numPr>
                <w:ilvl w:val="0"/>
                <w:numId w:val="28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341C5F" w:rsidRPr="00CF08FB" w:rsidRDefault="00341C5F" w:rsidP="006E5877">
            <w:pPr>
              <w:numPr>
                <w:ilvl w:val="0"/>
                <w:numId w:val="28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Pengendalian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341C5F" w:rsidRPr="00CF08FB" w:rsidRDefault="00341C5F" w:rsidP="00341C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Untuk mengendalikan pelaksanaan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sehingga isi Standar dapat tercapai/terpenuhi.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Pengendalian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Penggunaannya</w:t>
            </w:r>
          </w:p>
        </w:tc>
        <w:tc>
          <w:tcPr>
            <w:tcW w:w="6946" w:type="dxa"/>
          </w:tcPr>
          <w:p w:rsidR="00341C5F" w:rsidRDefault="00341C5F" w:rsidP="0065540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341C5F" w:rsidRDefault="00341C5F" w:rsidP="006E5877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Ketika pelaksanaan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telah dievaluasi pada tahap sebelumnya, ternyata diperlukan tindakan pengendalian berupa koreksi agar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terpenuhi;</w:t>
            </w:r>
          </w:p>
          <w:p w:rsidR="00341C5F" w:rsidRPr="00760F2F" w:rsidRDefault="00341C5F" w:rsidP="006E5877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F2F"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semua </w:t>
            </w:r>
            <w:r>
              <w:rPr>
                <w:rFonts w:ascii="Arial" w:hAnsi="Arial" w:cs="Arial"/>
                <w:sz w:val="24"/>
                <w:szCs w:val="24"/>
              </w:rPr>
              <w:t xml:space="preserve">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341C5F" w:rsidRDefault="00341C5F" w:rsidP="006E5877">
            <w:pPr>
              <w:pStyle w:val="Default"/>
              <w:numPr>
                <w:ilvl w:val="0"/>
                <w:numId w:val="30"/>
              </w:numPr>
              <w:spacing w:line="360" w:lineRule="auto"/>
              <w:ind w:left="45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Pengendalian :</w:t>
            </w:r>
            <w:proofErr w:type="gramEnd"/>
            <w:r>
              <w:rPr>
                <w:rFonts w:ascii="Arial" w:hAnsi="Arial" w:cs="Arial"/>
              </w:rPr>
              <w:t xml:space="preserve"> melakukan tindakan koreksi atas pelaksanaan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sehingga penyimpangan/ kegagalan pemenuhan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dapat diperbaiki.</w:t>
            </w:r>
          </w:p>
          <w:p w:rsidR="00341C5F" w:rsidRPr="00FD2228" w:rsidRDefault="00341C5F" w:rsidP="006E5877">
            <w:pPr>
              <w:pStyle w:val="Default"/>
              <w:numPr>
                <w:ilvl w:val="0"/>
                <w:numId w:val="30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Tindakan </w:t>
            </w:r>
            <w:proofErr w:type="gramStart"/>
            <w:r>
              <w:rPr>
                <w:rFonts w:ascii="Arial" w:hAnsi="Arial" w:cs="Arial"/>
              </w:rPr>
              <w:t>koreksi :</w:t>
            </w:r>
            <w:proofErr w:type="gramEnd"/>
            <w:r>
              <w:rPr>
                <w:rFonts w:ascii="Arial" w:hAnsi="Arial" w:cs="Arial"/>
              </w:rPr>
              <w:t xml:space="preserve"> melakukan tindakan perbaikan sehingga ketercapaian/kegagalan pemenuhan isi </w:t>
            </w:r>
            <w:r w:rsidR="0007639A">
              <w:rPr>
                <w:rFonts w:ascii="Arial" w:hAnsi="Arial" w:cs="Arial"/>
              </w:rPr>
              <w:t>Standar AIK</w:t>
            </w:r>
            <w:r w:rsidR="00FD2228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dapat dipenuhi</w:t>
            </w:r>
            <w:r w:rsidR="00FD2228">
              <w:rPr>
                <w:rFonts w:ascii="Arial" w:hAnsi="Arial" w:cs="Arial"/>
              </w:rPr>
              <w:t xml:space="preserve"> oleh pelaksana isi Standar.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Langkah-langkah atau Prosedur Pengendalian 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341C5F" w:rsidRDefault="00341C5F" w:rsidP="006E587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Periksa dan pelajari catatan hasil evaluasi yang dilakukan pada tahap sebelumnya, dan pelajari alasan atau penyebab terjadinya penyimpangan dari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atau apabila isi Standar gagal dicapai.</w:t>
            </w:r>
          </w:p>
          <w:p w:rsidR="00341C5F" w:rsidRDefault="00341C5F" w:rsidP="006E587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Ambil tindakan korektif terhadap setiap penyimpangan/ kegagalan ketercapaian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341C5F" w:rsidRDefault="00341C5F" w:rsidP="006E587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Catat atau rekam semua tindakan korektif yang diambil.</w:t>
            </w:r>
          </w:p>
          <w:p w:rsidR="00341C5F" w:rsidRDefault="00341C5F" w:rsidP="006E587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Pantau terus menerus efek dari tindakan korektif tersebut, misal : apakah kemudian penyelenggaraan pendidikan tinggi kembali berjalan sesuai dengan isi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  <w:p w:rsidR="00341C5F" w:rsidRDefault="00341C5F" w:rsidP="006E587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Buat laporan tertulis secara periodik tentang semua hal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yang menyangkut pengendalian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6554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seperti diuraikan di atas.</w:t>
            </w:r>
          </w:p>
          <w:p w:rsidR="00341C5F" w:rsidRPr="00E5401A" w:rsidRDefault="00341C5F" w:rsidP="006E587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Laporkan hasil dari pengendalian standar itu kepada pimpinan unit kerja dan pimpinan STKIP Muhammadiyah Aceh Barat Daya, disertai saran dan rekomendasi.</w:t>
            </w:r>
          </w:p>
        </w:tc>
      </w:tr>
      <w:tr w:rsidR="00341C5F" w:rsidRPr="000C7820" w:rsidTr="0065540C">
        <w:trPr>
          <w:trHeight w:val="2186"/>
        </w:trPr>
        <w:tc>
          <w:tcPr>
            <w:tcW w:w="2660" w:type="dxa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Menjalankan Pengendalian Pelaksanaan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341C5F" w:rsidRDefault="00341C5F" w:rsidP="0065540C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melakukan evaluasi pelaksanaan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adalah :</w:t>
            </w:r>
          </w:p>
          <w:p w:rsidR="00341C5F" w:rsidRDefault="00341C5F" w:rsidP="006E5877">
            <w:pPr>
              <w:pStyle w:val="Default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khusus </w:t>
            </w:r>
            <w:r w:rsidR="00D64F8F">
              <w:rPr>
                <w:rFonts w:ascii="Arial" w:hAnsi="Arial" w:cs="Arial"/>
                <w:lang w:val="id-ID"/>
              </w:rPr>
              <w:t>SPMI</w:t>
            </w:r>
            <w:r>
              <w:rPr>
                <w:rFonts w:ascii="Arial" w:hAnsi="Arial" w:cs="Arial"/>
              </w:rPr>
              <w:t xml:space="preserve"> sesuai dengan tugas pokok dan fungsinya, dan / atau</w:t>
            </w:r>
          </w:p>
          <w:p w:rsidR="00341C5F" w:rsidRDefault="00341C5F" w:rsidP="006E5877">
            <w:pPr>
              <w:pStyle w:val="Default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Pejabat struktural dengan bidang pekerjaan yang diatur oleh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yang bersangkutan, dan / atau</w:t>
            </w:r>
          </w:p>
          <w:p w:rsidR="00341C5F" w:rsidRPr="000C7820" w:rsidRDefault="00341C5F" w:rsidP="006E5877">
            <w:pPr>
              <w:pStyle w:val="Default"/>
              <w:numPr>
                <w:ilvl w:val="0"/>
                <w:numId w:val="32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Mereka yang secara eksplisit disebut </w:t>
            </w:r>
            <w:r w:rsidR="0065540C">
              <w:rPr>
                <w:rFonts w:ascii="Arial" w:hAnsi="Arial" w:cs="Arial"/>
              </w:rPr>
              <w:t xml:space="preserve">di dalam pernyataan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yang bersangkutan.</w:t>
            </w:r>
          </w:p>
        </w:tc>
      </w:tr>
      <w:tr w:rsidR="00341C5F" w:rsidRPr="000C7820" w:rsidTr="0065540C">
        <w:tc>
          <w:tcPr>
            <w:tcW w:w="2660" w:type="dxa"/>
          </w:tcPr>
          <w:p w:rsidR="00341C5F" w:rsidRPr="000C7820" w:rsidRDefault="00341C5F" w:rsidP="006E587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6946" w:type="dxa"/>
          </w:tcPr>
          <w:p w:rsidR="00341C5F" w:rsidRDefault="00341C5F" w:rsidP="0065540C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Untuk melengkapi manual ini, dibutuhkan ketersediaan dokumen tertulis berupa :</w:t>
            </w:r>
          </w:p>
          <w:p w:rsidR="00341C5F" w:rsidRDefault="00341C5F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Prosedur Pengendalian Pelaksanaan </w:t>
            </w:r>
            <w:r w:rsidR="0007639A">
              <w:rPr>
                <w:rFonts w:ascii="Arial" w:hAnsi="Arial" w:cs="Arial"/>
                <w:bCs/>
                <w:lang w:val="id-ID"/>
              </w:rPr>
              <w:t>Standar AIK</w:t>
            </w:r>
          </w:p>
          <w:p w:rsidR="00341C5F" w:rsidRDefault="00341C5F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Pengendalian Pelaksanaan </w:t>
            </w:r>
            <w:r w:rsidR="0007639A">
              <w:rPr>
                <w:rFonts w:ascii="Arial" w:hAnsi="Arial" w:cs="Arial"/>
                <w:bCs/>
              </w:rPr>
              <w:t>Standar AIK</w:t>
            </w:r>
          </w:p>
          <w:p w:rsidR="00341C5F" w:rsidRPr="0065540C" w:rsidRDefault="00341C5F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Formulir Hasil Pengendalian Pelaksaan </w:t>
            </w:r>
            <w:r w:rsidR="0007639A">
              <w:rPr>
                <w:rFonts w:ascii="Arial" w:hAnsi="Arial" w:cs="Arial"/>
                <w:bCs/>
              </w:rPr>
              <w:t>Standar AIK</w:t>
            </w:r>
          </w:p>
          <w:p w:rsidR="0065540C" w:rsidRPr="00F32A29" w:rsidRDefault="0065540C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Ambil tindakan korektif</w:t>
            </w:r>
            <w:r w:rsidR="00F32A29">
              <w:rPr>
                <w:rFonts w:ascii="Arial" w:hAnsi="Arial" w:cs="Arial"/>
                <w:bCs/>
                <w:lang w:val="id-ID"/>
              </w:rPr>
              <w:t xml:space="preserve"> terhadap setiap penyimpangan/ kegagalan ketercapaian isi </w:t>
            </w:r>
            <w:r w:rsidR="0007639A">
              <w:rPr>
                <w:rFonts w:ascii="Arial" w:hAnsi="Arial" w:cs="Arial"/>
                <w:bCs/>
                <w:lang w:val="id-ID"/>
              </w:rPr>
              <w:t>Standar AIK</w:t>
            </w:r>
          </w:p>
          <w:p w:rsidR="00F32A29" w:rsidRPr="00F32A29" w:rsidRDefault="00F32A29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Catat atau rekam semua tindakan korektif yang di ambil</w:t>
            </w:r>
          </w:p>
          <w:p w:rsidR="00F32A29" w:rsidRPr="00F32A29" w:rsidRDefault="00F32A29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Pantau terus menerus efek dari tindakan korektif tersebut</w:t>
            </w:r>
          </w:p>
          <w:p w:rsidR="00F32A29" w:rsidRPr="00F32A29" w:rsidRDefault="00F32A29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Buat laporan tertulis secara periodik tentang semua hal yang menyangkut pengendalian standar seperti diuraikan di atas</w:t>
            </w:r>
          </w:p>
          <w:p w:rsidR="00F32A29" w:rsidRPr="00A02812" w:rsidRDefault="00F32A29" w:rsidP="006E5877">
            <w:pPr>
              <w:pStyle w:val="Default"/>
              <w:numPr>
                <w:ilvl w:val="0"/>
                <w:numId w:val="33"/>
              </w:numPr>
              <w:spacing w:line="360" w:lineRule="auto"/>
              <w:ind w:left="4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Laporkan hasil dari pengendalian standar itu kepada pimpinan unit kerja dan pimpinan STKIP Muhammadiyah Aceh Barat Daya, disertai saran atau rekomendasi</w:t>
            </w:r>
          </w:p>
        </w:tc>
      </w:tr>
    </w:tbl>
    <w:p w:rsidR="00341C5F" w:rsidRDefault="00341C5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7C578C" w:rsidRPr="000C7820" w:rsidTr="0071414B">
        <w:tc>
          <w:tcPr>
            <w:tcW w:w="1843" w:type="dxa"/>
            <w:vMerge w:val="restart"/>
            <w:vAlign w:val="center"/>
          </w:tcPr>
          <w:p w:rsidR="007C578C" w:rsidRPr="000C7820" w:rsidRDefault="007C578C" w:rsidP="0071414B">
            <w:pPr>
              <w:ind w:left="142" w:hanging="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lastRenderedPageBreak/>
              <w:drawing>
                <wp:inline distT="0" distB="0" distL="0" distR="0" wp14:anchorId="3DD26AAB" wp14:editId="4C52EDE0">
                  <wp:extent cx="1076325" cy="1047750"/>
                  <wp:effectExtent l="19050" t="0" r="9525" b="0"/>
                  <wp:docPr id="20" name="Picture 1" descr="H:\LOGO STKIP MUHAMMADIYAH TERBA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LOGO STKIP MUHAMMADIYAH TERBAR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7C578C" w:rsidRPr="000C7820" w:rsidRDefault="007C578C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STKIP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 Muhammadiyah</w:t>
            </w:r>
          </w:p>
          <w:p w:rsidR="007C578C" w:rsidRPr="000C7820" w:rsidRDefault="007C578C" w:rsidP="007141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Aceh Barat Daya</w:t>
            </w:r>
          </w:p>
        </w:tc>
        <w:tc>
          <w:tcPr>
            <w:tcW w:w="4678" w:type="dxa"/>
            <w:vAlign w:val="center"/>
          </w:tcPr>
          <w:p w:rsidR="007C578C" w:rsidRDefault="007C578C" w:rsidP="0071414B">
            <w:pPr>
              <w:pStyle w:val="Default"/>
              <w:jc w:val="center"/>
              <w:rPr>
                <w:rFonts w:ascii="Arial" w:hAnsi="Arial" w:cs="Arial"/>
              </w:rPr>
            </w:pPr>
            <w:r w:rsidRPr="000C7820">
              <w:rPr>
                <w:rFonts w:ascii="Arial" w:hAnsi="Arial" w:cs="Arial"/>
              </w:rPr>
              <w:t>Kode/No  :</w:t>
            </w:r>
          </w:p>
          <w:p w:rsidR="007C578C" w:rsidRPr="000C7820" w:rsidRDefault="007C578C" w:rsidP="0071414B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val="id-ID"/>
              </w:rPr>
              <w:t>LPM-STKIPMABDYA/SPMI/MAN.25.05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Tanggal   : </w:t>
            </w:r>
            <w:r>
              <w:rPr>
                <w:rFonts w:ascii="Arial" w:hAnsi="Arial" w:cs="Arial"/>
                <w:sz w:val="24"/>
                <w:szCs w:val="24"/>
              </w:rPr>
              <w:t>11 Oktober 2019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0934" w:rsidRPr="00393B6E" w:rsidRDefault="00610934" w:rsidP="0061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Peningkatan Pelaksanaan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Standar </w:t>
            </w:r>
            <w:r>
              <w:rPr>
                <w:rFonts w:ascii="Arial" w:hAnsi="Arial" w:cs="Arial"/>
                <w:sz w:val="24"/>
                <w:szCs w:val="24"/>
              </w:rPr>
              <w:t>AIK</w:t>
            </w:r>
          </w:p>
        </w:tc>
        <w:tc>
          <w:tcPr>
            <w:tcW w:w="4678" w:type="dxa"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Revisi      : 0</w:t>
            </w:r>
          </w:p>
        </w:tc>
      </w:tr>
      <w:tr w:rsidR="00610934" w:rsidRPr="000C7820" w:rsidTr="0071414B">
        <w:tc>
          <w:tcPr>
            <w:tcW w:w="1843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10934" w:rsidRPr="000C7820" w:rsidRDefault="00610934" w:rsidP="006109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10934" w:rsidRPr="00610934" w:rsidRDefault="00610934" w:rsidP="00610934">
            <w:pPr>
              <w:rPr>
                <w:rFonts w:ascii="Arial" w:hAnsi="Arial" w:cs="Arial"/>
                <w:sz w:val="24"/>
                <w:szCs w:val="24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Halaman : </w:t>
            </w:r>
            <w:r>
              <w:rPr>
                <w:rFonts w:ascii="Arial" w:hAnsi="Arial" w:cs="Arial"/>
                <w:sz w:val="24"/>
                <w:szCs w:val="24"/>
              </w:rPr>
              <w:t>1 dari 3</w:t>
            </w:r>
          </w:p>
        </w:tc>
      </w:tr>
    </w:tbl>
    <w:p w:rsidR="00436F08" w:rsidRPr="000C7820" w:rsidRDefault="00436F08" w:rsidP="00436F08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28"/>
          <w:szCs w:val="24"/>
          <w:lang w:val="en-US"/>
        </w:rPr>
      </w:pPr>
    </w:p>
    <w:p w:rsidR="00436F08" w:rsidRDefault="00436F08" w:rsidP="00436F0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MANUAL PENINGKATAN PELAKSANAAN </w:t>
      </w:r>
    </w:p>
    <w:p w:rsidR="00436F08" w:rsidRDefault="0007639A" w:rsidP="00436F08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STANDAR AIK</w:t>
      </w:r>
    </w:p>
    <w:p w:rsidR="00436F08" w:rsidRPr="000C7820" w:rsidRDefault="00436F08" w:rsidP="00436F08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C7820">
        <w:rPr>
          <w:rFonts w:ascii="Arial" w:hAnsi="Arial" w:cs="Arial"/>
          <w:b/>
          <w:sz w:val="28"/>
          <w:szCs w:val="24"/>
          <w:lang w:val="en-US"/>
        </w:rPr>
        <w:t>SEKOLAH TINGGI KEGURUAN DAN ILMU PENDIDIKAN MUHAMMADIYAH ACEH BARAT DAYA</w:t>
      </w: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  <w:r w:rsidRPr="000C7820">
        <w:rPr>
          <w:rFonts w:ascii="Arial" w:hAnsi="Arial" w:cs="Arial"/>
          <w:noProof/>
          <w:sz w:val="32"/>
          <w:szCs w:val="24"/>
          <w:lang w:eastAsia="id-ID"/>
        </w:rPr>
        <w:drawing>
          <wp:inline distT="0" distB="0" distL="0" distR="0" wp14:anchorId="707533EF" wp14:editId="5B563C01">
            <wp:extent cx="1809750" cy="1676400"/>
            <wp:effectExtent l="19050" t="0" r="0" b="0"/>
            <wp:docPr id="14" name="Picture 1" descr="H:\LOGO STKIP MUHAMMADIYAH TERB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LOGO STKIP MUHAMMADIYAH TERBARU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08" w:rsidRPr="000C7820" w:rsidRDefault="00436F08" w:rsidP="00436F08">
      <w:pPr>
        <w:jc w:val="center"/>
        <w:rPr>
          <w:rFonts w:ascii="Arial" w:hAnsi="Arial" w:cs="Arial"/>
          <w:sz w:val="32"/>
          <w:szCs w:val="24"/>
          <w:lang w:val="en-US"/>
        </w:rPr>
      </w:pPr>
    </w:p>
    <w:tbl>
      <w:tblPr>
        <w:tblStyle w:val="TableGrid"/>
        <w:tblW w:w="10128" w:type="dxa"/>
        <w:tblInd w:w="108" w:type="dxa"/>
        <w:tblLook w:val="04A0" w:firstRow="1" w:lastRow="0" w:firstColumn="1" w:lastColumn="0" w:noHBand="0" w:noVBand="1"/>
      </w:tblPr>
      <w:tblGrid>
        <w:gridCol w:w="2125"/>
        <w:gridCol w:w="2978"/>
        <w:gridCol w:w="2040"/>
        <w:gridCol w:w="1710"/>
        <w:gridCol w:w="1275"/>
      </w:tblGrid>
      <w:tr w:rsidR="00436F08" w:rsidRPr="000C7820" w:rsidTr="00F7541E">
        <w:tc>
          <w:tcPr>
            <w:tcW w:w="2125" w:type="dxa"/>
            <w:vMerge w:val="restart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Proses</w:t>
            </w:r>
          </w:p>
        </w:tc>
        <w:tc>
          <w:tcPr>
            <w:tcW w:w="6728" w:type="dxa"/>
            <w:gridSpan w:val="3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Tanggal</w:t>
            </w:r>
          </w:p>
        </w:tc>
      </w:tr>
      <w:tr w:rsidR="00436F08" w:rsidRPr="000C7820" w:rsidTr="00F7541E">
        <w:tc>
          <w:tcPr>
            <w:tcW w:w="2125" w:type="dxa"/>
            <w:vMerge/>
            <w:vAlign w:val="center"/>
          </w:tcPr>
          <w:p w:rsidR="00436F08" w:rsidRPr="000C7820" w:rsidRDefault="00436F08" w:rsidP="00F7541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Jabatan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Tandatangan</w:t>
            </w: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Perumusan</w:t>
            </w:r>
          </w:p>
        </w:tc>
        <w:tc>
          <w:tcPr>
            <w:tcW w:w="2978" w:type="dxa"/>
            <w:vAlign w:val="center"/>
          </w:tcPr>
          <w:p w:rsidR="00436F08" w:rsidRPr="00B445B4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Pemeriksa</w:t>
            </w: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Afdhal Jihad, M.Pd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Wakil Ketua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Persetujuan</w:t>
            </w: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Ridwan Adami, MM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Ketua 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 xml:space="preserve">Senat 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</w:p>
        </w:tc>
        <w:tc>
          <w:tcPr>
            <w:tcW w:w="2978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Mismaruddin Mahdi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BPH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6F08" w:rsidRPr="000C7820" w:rsidTr="00F7541E">
        <w:tc>
          <w:tcPr>
            <w:tcW w:w="2125" w:type="dxa"/>
            <w:vAlign w:val="center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3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Pengendalian</w:t>
            </w:r>
          </w:p>
        </w:tc>
        <w:tc>
          <w:tcPr>
            <w:tcW w:w="2978" w:type="dxa"/>
            <w:vAlign w:val="center"/>
          </w:tcPr>
          <w:p w:rsidR="00436F08" w:rsidRPr="00B445B4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Nisya Fajri, S.Pd.I, M.Pd</w:t>
            </w:r>
          </w:p>
        </w:tc>
        <w:tc>
          <w:tcPr>
            <w:tcW w:w="204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Ketua LPM</w:t>
            </w:r>
          </w:p>
        </w:tc>
        <w:tc>
          <w:tcPr>
            <w:tcW w:w="1710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36F08" w:rsidRPr="000C7820" w:rsidRDefault="00436F08" w:rsidP="00F7541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6F08" w:rsidRDefault="00436F08" w:rsidP="00436F08">
      <w:pPr>
        <w:rPr>
          <w:rFonts w:ascii="Arial" w:hAnsi="Arial" w:cs="Arial"/>
          <w:sz w:val="24"/>
          <w:szCs w:val="24"/>
          <w:lang w:val="en-US"/>
        </w:rPr>
      </w:pPr>
    </w:p>
    <w:p w:rsidR="00436F08" w:rsidRDefault="00436F08" w:rsidP="00436F0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436F08" w:rsidRPr="000C7820" w:rsidTr="00F7541E">
        <w:tc>
          <w:tcPr>
            <w:tcW w:w="2660" w:type="dxa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br w:type="page"/>
              <w:t xml:space="preserve">Visi dan </w:t>
            </w: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</w:tc>
        <w:tc>
          <w:tcPr>
            <w:tcW w:w="6946" w:type="dxa"/>
          </w:tcPr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Visi STKIP Muhammadiyah Aceh Barat Daya</w:t>
            </w:r>
          </w:p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0C7820">
              <w:rPr>
                <w:rFonts w:ascii="Arial" w:hAnsi="Arial" w:cs="Arial"/>
                <w:sz w:val="24"/>
                <w:szCs w:val="24"/>
              </w:rPr>
              <w:t>Unggul, professional, aplikatif dan Islami</w:t>
            </w:r>
            <w:r w:rsidRPr="000C7820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36F08" w:rsidRPr="000C7820" w:rsidRDefault="00436F08" w:rsidP="00F754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Misi STKIP Muhammadiyah Aceh Barat Daya</w:t>
            </w:r>
          </w:p>
          <w:p w:rsidR="00436F08" w:rsidRPr="004E7C1D" w:rsidRDefault="00436F08" w:rsidP="006E5877">
            <w:pPr>
              <w:numPr>
                <w:ilvl w:val="0"/>
                <w:numId w:val="37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Menyelenggarakan pendidikan dan pengajaran yang bermutu, berbasis Islam untuk menghasilkan tenaga kependidikan yang unggul, kompetitif dan professional.</w:t>
            </w:r>
          </w:p>
          <w:p w:rsidR="00436F08" w:rsidRPr="004E7C1D" w:rsidRDefault="00436F08" w:rsidP="006E5877">
            <w:pPr>
              <w:numPr>
                <w:ilvl w:val="0"/>
                <w:numId w:val="37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dan penyelenggaraan penelitian pendidikan, dengan memanfaatkan aplikasi teknologi.</w:t>
            </w:r>
          </w:p>
          <w:p w:rsidR="00436F08" w:rsidRPr="00CF08FB" w:rsidRDefault="00436F08" w:rsidP="006E5877">
            <w:pPr>
              <w:numPr>
                <w:ilvl w:val="0"/>
                <w:numId w:val="37"/>
              </w:numPr>
              <w:spacing w:line="36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E7C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Melaksanakan pengabdian pada masyarakat sebagai wujud aplikasi ilmu yang dimiliki.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Tujuan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Manual Peningkatan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436F08" w:rsidRPr="00436F08" w:rsidRDefault="00436F08" w:rsidP="00436F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secara berkelanjutan meningkatkan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setiap akhir siklus atau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7820">
              <w:rPr>
                <w:rFonts w:ascii="Arial" w:hAnsi="Arial" w:cs="Arial"/>
                <w:b/>
                <w:sz w:val="24"/>
                <w:szCs w:val="24"/>
                <w:lang w:val="en-US"/>
              </w:rPr>
              <w:t>Luas Lingkup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Manual Peningkatan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dan Penggunaannya</w:t>
            </w:r>
          </w:p>
        </w:tc>
        <w:tc>
          <w:tcPr>
            <w:tcW w:w="6946" w:type="dxa"/>
          </w:tcPr>
          <w:p w:rsidR="00436F08" w:rsidRDefault="00436F08" w:rsidP="00F7541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Manual ini berlaku :</w:t>
            </w:r>
          </w:p>
          <w:p w:rsidR="00436F08" w:rsidRDefault="00436F08" w:rsidP="006E587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Ketika pelaksanaan isi setiap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dalam satu siklus berakhir, dan kemudian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tersebut ditingkatkan. Siklus setiap Standar dapat ditentukan secara seragam atau berbeda. Misalnya dapat</w:t>
            </w:r>
            <w:r w:rsidR="00EA2A81">
              <w:rPr>
                <w:rFonts w:ascii="Arial" w:hAnsi="Arial" w:cs="Arial"/>
                <w:sz w:val="24"/>
                <w:szCs w:val="24"/>
              </w:rPr>
              <w:t xml:space="preserve"> berupa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semesteran, tahunan, atau 5 tahunan.</w:t>
            </w:r>
          </w:p>
          <w:p w:rsidR="00436F08" w:rsidRPr="00760F2F" w:rsidRDefault="00436F08" w:rsidP="006E5877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0F2F">
              <w:rPr>
                <w:rFonts w:ascii="Arial" w:hAnsi="Arial" w:cs="Arial"/>
                <w:sz w:val="24"/>
                <w:szCs w:val="24"/>
                <w:lang w:val="en-US"/>
              </w:rPr>
              <w:t xml:space="preserve">Untuk semua </w:t>
            </w:r>
            <w:r w:rsidR="0007639A">
              <w:rPr>
                <w:rFonts w:ascii="Arial" w:hAnsi="Arial" w:cs="Arial"/>
                <w:sz w:val="24"/>
                <w:szCs w:val="24"/>
                <w:lang w:val="en-US"/>
              </w:rPr>
              <w:t>Standar AIK</w:t>
            </w:r>
            <w:r w:rsidR="00EA2A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Defenisi Istilah</w:t>
            </w:r>
          </w:p>
        </w:tc>
        <w:tc>
          <w:tcPr>
            <w:tcW w:w="6946" w:type="dxa"/>
          </w:tcPr>
          <w:p w:rsidR="00436F08" w:rsidRDefault="00436F08" w:rsidP="006E5877">
            <w:pPr>
              <w:pStyle w:val="Default"/>
              <w:numPr>
                <w:ilvl w:val="0"/>
                <w:numId w:val="39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Pengembangan atau peningkatan </w:t>
            </w:r>
            <w:proofErr w:type="gramStart"/>
            <w:r>
              <w:rPr>
                <w:rFonts w:ascii="Arial" w:hAnsi="Arial" w:cs="Arial"/>
              </w:rPr>
              <w:t>standar :</w:t>
            </w:r>
            <w:proofErr w:type="gramEnd"/>
            <w:r>
              <w:rPr>
                <w:rFonts w:ascii="Arial" w:hAnsi="Arial" w:cs="Arial"/>
              </w:rPr>
              <w:t xml:space="preserve"> upaya untuk mengevaluasi dan memperbaiki isi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>, secara periodik dan berkelanjutan.</w:t>
            </w:r>
          </w:p>
          <w:p w:rsidR="00436F08" w:rsidRDefault="00436F08" w:rsidP="006E5877">
            <w:pPr>
              <w:pStyle w:val="Default"/>
              <w:numPr>
                <w:ilvl w:val="0"/>
                <w:numId w:val="39"/>
              </w:numPr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Evaluasi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: tindakan menilai isi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didasarkan, antara lain, pada :</w:t>
            </w:r>
          </w:p>
          <w:p w:rsidR="00436F08" w:rsidRDefault="00436F08" w:rsidP="006E5877">
            <w:pPr>
              <w:pStyle w:val="Default"/>
              <w:numPr>
                <w:ilvl w:val="2"/>
                <w:numId w:val="37"/>
              </w:numPr>
              <w:tabs>
                <w:tab w:val="clear" w:pos="2160"/>
              </w:tabs>
              <w:spacing w:line="360" w:lineRule="auto"/>
              <w:ind w:left="8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Hasil pelaksanaan isi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pada waktu sebelumnya;</w:t>
            </w:r>
          </w:p>
          <w:p w:rsidR="00436F08" w:rsidRDefault="00436F08" w:rsidP="006E5877">
            <w:pPr>
              <w:pStyle w:val="Default"/>
              <w:numPr>
                <w:ilvl w:val="2"/>
                <w:numId w:val="37"/>
              </w:numPr>
              <w:tabs>
                <w:tab w:val="clear" w:pos="2160"/>
              </w:tabs>
              <w:spacing w:line="360" w:lineRule="auto"/>
              <w:ind w:left="8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Perkembangan situasi dan kondisi </w:t>
            </w:r>
            <w:r w:rsidRPr="00E5401A">
              <w:rPr>
                <w:rFonts w:ascii="Arial" w:hAnsi="Arial" w:cs="Arial"/>
              </w:rPr>
              <w:t>STKIP Muhammadiyah Aceh Barat Daya</w:t>
            </w:r>
            <w:r>
              <w:rPr>
                <w:rFonts w:ascii="Arial" w:hAnsi="Arial" w:cs="Arial"/>
              </w:rPr>
              <w:t xml:space="preserve">, tuntutan kebutuhan pemangku kepentingan </w:t>
            </w:r>
            <w:r w:rsidRPr="00E5401A">
              <w:rPr>
                <w:rFonts w:ascii="Arial" w:hAnsi="Arial" w:cs="Arial"/>
              </w:rPr>
              <w:t>STKIP Muhammadiyah Aceh Barat Daya</w:t>
            </w:r>
            <w:r>
              <w:rPr>
                <w:rFonts w:ascii="Arial" w:hAnsi="Arial" w:cs="Arial"/>
              </w:rPr>
              <w:t xml:space="preserve"> dan masyarakat pada umumnya, dan</w:t>
            </w:r>
          </w:p>
          <w:p w:rsidR="00436F08" w:rsidRDefault="00436F08" w:rsidP="006E5877">
            <w:pPr>
              <w:pStyle w:val="Default"/>
              <w:numPr>
                <w:ilvl w:val="2"/>
                <w:numId w:val="37"/>
              </w:numPr>
              <w:tabs>
                <w:tab w:val="clear" w:pos="2160"/>
              </w:tabs>
              <w:spacing w:line="360" w:lineRule="auto"/>
              <w:ind w:left="8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Relevansinya dengan Visi dan Misi </w:t>
            </w:r>
            <w:r w:rsidRPr="00E5401A">
              <w:rPr>
                <w:rFonts w:ascii="Arial" w:hAnsi="Arial" w:cs="Arial"/>
              </w:rPr>
              <w:t>STKIP Muhammadiyah Aceh Barat Daya</w:t>
            </w:r>
          </w:p>
          <w:p w:rsidR="00436F08" w:rsidRPr="0099249B" w:rsidRDefault="00436F08" w:rsidP="006E5877">
            <w:pPr>
              <w:pStyle w:val="Default"/>
              <w:numPr>
                <w:ilvl w:val="0"/>
                <w:numId w:val="35"/>
              </w:numPr>
              <w:tabs>
                <w:tab w:val="clear" w:pos="72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Siklus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: durasi atau masa berlakunya suatu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sesuai dengan aspek yang di atur di dalamnya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Langkah-langkah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atau Prosedur </w:t>
            </w:r>
            <w:r w:rsidR="00C43181">
              <w:rPr>
                <w:rFonts w:ascii="Arial" w:hAnsi="Arial" w:cs="Arial"/>
                <w:b/>
                <w:sz w:val="24"/>
                <w:szCs w:val="24"/>
              </w:rPr>
              <w:t xml:space="preserve">Peningkatan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436F08" w:rsidRDefault="00436F08" w:rsidP="006E5877">
            <w:pPr>
              <w:pStyle w:val="Default"/>
              <w:numPr>
                <w:ilvl w:val="3"/>
                <w:numId w:val="35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 w:rsidRPr="00270E01">
              <w:rPr>
                <w:rFonts w:ascii="Arial" w:hAnsi="Arial" w:cs="Arial"/>
              </w:rPr>
              <w:lastRenderedPageBreak/>
              <w:t xml:space="preserve">Pelajari laporan hasil pengendalian </w:t>
            </w:r>
            <w:r w:rsidR="0007639A">
              <w:rPr>
                <w:rFonts w:ascii="Arial" w:hAnsi="Arial" w:cs="Arial"/>
              </w:rPr>
              <w:t>Standar AIK</w:t>
            </w:r>
            <w:r w:rsidRPr="00270E01">
              <w:rPr>
                <w:rFonts w:ascii="Arial" w:hAnsi="Arial" w:cs="Arial"/>
              </w:rPr>
              <w:t xml:space="preserve"> </w:t>
            </w:r>
          </w:p>
          <w:p w:rsidR="00436F08" w:rsidRDefault="00436F08" w:rsidP="006E5877">
            <w:pPr>
              <w:pStyle w:val="Default"/>
              <w:numPr>
                <w:ilvl w:val="3"/>
                <w:numId w:val="35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Selenggarakan rapat atau forum diskusi untuk mendiskusikan hasil laporan tersebut, dengan mengundang pejabat struktural yang terkait dan dosen</w:t>
            </w:r>
          </w:p>
          <w:p w:rsidR="00436F08" w:rsidRDefault="00436F08" w:rsidP="006E5877">
            <w:pPr>
              <w:pStyle w:val="Default"/>
              <w:numPr>
                <w:ilvl w:val="3"/>
                <w:numId w:val="35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Evaluasi isi </w:t>
            </w:r>
            <w:r w:rsidR="0007639A">
              <w:rPr>
                <w:rFonts w:ascii="Arial" w:hAnsi="Arial" w:cs="Arial"/>
              </w:rPr>
              <w:t>Standar AIK</w:t>
            </w:r>
          </w:p>
          <w:p w:rsidR="00436F08" w:rsidRDefault="00436F08" w:rsidP="006E5877">
            <w:pPr>
              <w:pStyle w:val="Default"/>
              <w:numPr>
                <w:ilvl w:val="3"/>
                <w:numId w:val="35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Lakukan revisi isi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sehingga menjadi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baru yang lebih tinggi daripada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sebelumnya</w:t>
            </w:r>
          </w:p>
          <w:p w:rsidR="00436F08" w:rsidRPr="00270E01" w:rsidRDefault="00436F08" w:rsidP="006E5877">
            <w:pPr>
              <w:pStyle w:val="Default"/>
              <w:numPr>
                <w:ilvl w:val="3"/>
                <w:numId w:val="35"/>
              </w:numPr>
              <w:tabs>
                <w:tab w:val="clear" w:pos="2880"/>
              </w:tabs>
              <w:spacing w:line="36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Tempuh standar atau prosedur yang berlaku dalam penetapan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yang lebih tinggi tersebut sebagai </w:t>
            </w:r>
            <w:r w:rsidR="0007639A">
              <w:rPr>
                <w:rFonts w:ascii="Arial" w:hAnsi="Arial" w:cs="Arial"/>
              </w:rPr>
              <w:t>Standar AIK</w:t>
            </w:r>
            <w:r>
              <w:rPr>
                <w:rFonts w:ascii="Arial" w:hAnsi="Arial" w:cs="Arial"/>
              </w:rPr>
              <w:t xml:space="preserve"> yang baru.</w:t>
            </w:r>
          </w:p>
        </w:tc>
      </w:tr>
      <w:tr w:rsidR="00436F08" w:rsidRPr="000C7820" w:rsidTr="00F7541E">
        <w:trPr>
          <w:trHeight w:val="2186"/>
        </w:trPr>
        <w:tc>
          <w:tcPr>
            <w:tcW w:w="2660" w:type="dxa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Kualifikasi Pejabat/Petugas yang Melakukan Peningkatan </w:t>
            </w:r>
            <w:r w:rsidR="0007639A">
              <w:rPr>
                <w:rFonts w:ascii="Arial" w:hAnsi="Arial" w:cs="Arial"/>
                <w:b/>
                <w:sz w:val="24"/>
                <w:szCs w:val="24"/>
                <w:lang w:val="en-US"/>
              </w:rPr>
              <w:t>Standar AIK</w:t>
            </w:r>
          </w:p>
        </w:tc>
        <w:tc>
          <w:tcPr>
            <w:tcW w:w="6946" w:type="dxa"/>
          </w:tcPr>
          <w:p w:rsidR="00436F08" w:rsidRDefault="00436F08" w:rsidP="00F7541E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Pihak yang harus meningkatkan </w:t>
            </w:r>
            <w:r w:rsidR="0007639A">
              <w:rPr>
                <w:rFonts w:ascii="Arial" w:hAnsi="Arial" w:cs="Arial"/>
              </w:rPr>
              <w:t>Standar AIK</w:t>
            </w:r>
            <w:r w:rsidR="00C43181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adalah :</w:t>
            </w:r>
          </w:p>
          <w:p w:rsidR="00436F08" w:rsidRPr="000C7820" w:rsidRDefault="00436F08" w:rsidP="00D64F8F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C43181">
              <w:rPr>
                <w:rFonts w:ascii="Arial" w:hAnsi="Arial" w:cs="Arial"/>
                <w:lang w:val="id-ID"/>
              </w:rPr>
              <w:t xml:space="preserve">kerja </w:t>
            </w:r>
            <w:r w:rsidR="00C43181">
              <w:rPr>
                <w:rFonts w:ascii="Arial" w:hAnsi="Arial" w:cs="Arial"/>
              </w:rPr>
              <w:t xml:space="preserve">khusus </w:t>
            </w:r>
            <w:r w:rsidR="00D64F8F">
              <w:rPr>
                <w:rFonts w:ascii="Arial" w:hAnsi="Arial" w:cs="Arial"/>
                <w:lang w:val="id-ID"/>
              </w:rPr>
              <w:t>SPMI</w:t>
            </w:r>
            <w:r>
              <w:rPr>
                <w:rFonts w:ascii="Arial" w:hAnsi="Arial" w:cs="Arial"/>
              </w:rPr>
              <w:t xml:space="preserve"> dengan tugas pokok dan fungsinya, bekerjasama denga</w:t>
            </w:r>
            <w:r>
              <w:rPr>
                <w:rFonts w:ascii="Arial" w:hAnsi="Arial" w:cs="Arial"/>
                <w:lang w:val="id-ID"/>
              </w:rPr>
              <w:t>n</w:t>
            </w:r>
            <w:r>
              <w:rPr>
                <w:rFonts w:ascii="Arial" w:hAnsi="Arial" w:cs="Arial"/>
              </w:rPr>
              <w:t xml:space="preserve"> pejabat struktural dengan bidang pekerjaan yang diatur oleh standar yang bersangkutan dan dosen.</w:t>
            </w:r>
          </w:p>
        </w:tc>
      </w:tr>
      <w:tr w:rsidR="00436F08" w:rsidRPr="000C7820" w:rsidTr="00F7541E">
        <w:tc>
          <w:tcPr>
            <w:tcW w:w="2660" w:type="dxa"/>
          </w:tcPr>
          <w:p w:rsidR="00436F08" w:rsidRPr="000C7820" w:rsidRDefault="00436F08" w:rsidP="006E587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Catatan</w:t>
            </w:r>
          </w:p>
        </w:tc>
        <w:tc>
          <w:tcPr>
            <w:tcW w:w="6946" w:type="dxa"/>
          </w:tcPr>
          <w:p w:rsidR="00436F08" w:rsidRDefault="00436F08" w:rsidP="00F7541E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Untuk melengkapi manual ini, dibutuhkan ketersediaan dokumen tertulis berupa formulir/tamplate standar.</w:t>
            </w:r>
          </w:p>
          <w:p w:rsidR="00436F08" w:rsidRPr="00C43181" w:rsidRDefault="00436F08" w:rsidP="00C43181">
            <w:pPr>
              <w:pStyle w:val="Default"/>
              <w:spacing w:line="36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Manual ini digunakan secara bersamaan dengan Manual Penetapan </w:t>
            </w:r>
            <w:r w:rsidR="0007639A">
              <w:rPr>
                <w:rFonts w:ascii="Arial" w:hAnsi="Arial" w:cs="Arial"/>
                <w:bCs/>
              </w:rPr>
              <w:t>Standar AIK</w:t>
            </w:r>
          </w:p>
        </w:tc>
      </w:tr>
    </w:tbl>
    <w:p w:rsidR="00341C5F" w:rsidRPr="000C7820" w:rsidRDefault="00341C5F" w:rsidP="00B445B4">
      <w:pPr>
        <w:rPr>
          <w:rFonts w:ascii="Arial" w:hAnsi="Arial" w:cs="Arial"/>
          <w:sz w:val="24"/>
          <w:szCs w:val="24"/>
          <w:lang w:val="en-US"/>
        </w:rPr>
      </w:pPr>
    </w:p>
    <w:sectPr w:rsidR="00341C5F" w:rsidRPr="000C7820" w:rsidSect="00DA3852">
      <w:pgSz w:w="12242" w:h="18711" w:code="5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4CF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1969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6405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40D5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BA5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94E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71F0"/>
    <w:multiLevelType w:val="multilevel"/>
    <w:tmpl w:val="6CB4C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E516CFE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16F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2E5F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800FA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72FF9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7DF3"/>
    <w:multiLevelType w:val="multilevel"/>
    <w:tmpl w:val="1010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955" w:hanging="435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3501A"/>
    <w:multiLevelType w:val="hybridMultilevel"/>
    <w:tmpl w:val="DC08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B68F3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A40F6"/>
    <w:multiLevelType w:val="hybridMultilevel"/>
    <w:tmpl w:val="2230E786"/>
    <w:lvl w:ilvl="0" w:tplc="4490D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1494"/>
    <w:multiLevelType w:val="multilevel"/>
    <w:tmpl w:val="5B90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9419D"/>
    <w:multiLevelType w:val="hybridMultilevel"/>
    <w:tmpl w:val="3D8ED9F4"/>
    <w:lvl w:ilvl="0" w:tplc="D73E1E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7290F"/>
    <w:multiLevelType w:val="hybridMultilevel"/>
    <w:tmpl w:val="9C7C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F0955"/>
    <w:multiLevelType w:val="hybridMultilevel"/>
    <w:tmpl w:val="A1F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E49AC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9094F"/>
    <w:multiLevelType w:val="hybridMultilevel"/>
    <w:tmpl w:val="A22036D6"/>
    <w:lvl w:ilvl="0" w:tplc="F95CC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420FD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D531D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21CF"/>
    <w:multiLevelType w:val="hybridMultilevel"/>
    <w:tmpl w:val="A1F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55AF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33C11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374AA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D6CF5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B16E6"/>
    <w:multiLevelType w:val="hybridMultilevel"/>
    <w:tmpl w:val="DC08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33868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E0945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051FD"/>
    <w:multiLevelType w:val="multilevel"/>
    <w:tmpl w:val="BDDC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E37D7"/>
    <w:multiLevelType w:val="hybridMultilevel"/>
    <w:tmpl w:val="8564CDF0"/>
    <w:lvl w:ilvl="0" w:tplc="F30A6F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80931"/>
    <w:multiLevelType w:val="multilevel"/>
    <w:tmpl w:val="1010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lowerLetter"/>
      <w:lvlText w:val="%4."/>
      <w:lvlJc w:val="left"/>
      <w:pPr>
        <w:ind w:left="2955" w:hanging="435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5F3150"/>
    <w:multiLevelType w:val="hybridMultilevel"/>
    <w:tmpl w:val="74EC0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E0AF88">
      <w:start w:val="1"/>
      <w:numFmt w:val="decimal"/>
      <w:lvlText w:val="%3."/>
      <w:lvlJc w:val="left"/>
      <w:pPr>
        <w:ind w:left="2340" w:hanging="360"/>
      </w:pPr>
      <w:rPr>
        <w:rFonts w:eastAsia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77D04"/>
    <w:multiLevelType w:val="hybridMultilevel"/>
    <w:tmpl w:val="7A7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E492F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F6CB0"/>
    <w:multiLevelType w:val="hybridMultilevel"/>
    <w:tmpl w:val="40402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5A31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3744C"/>
    <w:multiLevelType w:val="hybridMultilevel"/>
    <w:tmpl w:val="C69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A20F6"/>
    <w:multiLevelType w:val="hybridMultilevel"/>
    <w:tmpl w:val="ED429CD6"/>
    <w:lvl w:ilvl="0" w:tplc="1968F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200F3"/>
    <w:multiLevelType w:val="hybridMultilevel"/>
    <w:tmpl w:val="4DCC0FE2"/>
    <w:lvl w:ilvl="0" w:tplc="092AE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71A87"/>
    <w:multiLevelType w:val="hybridMultilevel"/>
    <w:tmpl w:val="40402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2E79"/>
    <w:multiLevelType w:val="hybridMultilevel"/>
    <w:tmpl w:val="CFAC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E0F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F58E0"/>
    <w:multiLevelType w:val="hybridMultilevel"/>
    <w:tmpl w:val="DC08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15E54"/>
    <w:multiLevelType w:val="hybridMultilevel"/>
    <w:tmpl w:val="8ADE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4"/>
  </w:num>
  <w:num w:numId="4">
    <w:abstractNumId w:val="39"/>
  </w:num>
  <w:num w:numId="5">
    <w:abstractNumId w:val="30"/>
  </w:num>
  <w:num w:numId="6">
    <w:abstractNumId w:val="8"/>
  </w:num>
  <w:num w:numId="7">
    <w:abstractNumId w:val="5"/>
  </w:num>
  <w:num w:numId="8">
    <w:abstractNumId w:val="0"/>
  </w:num>
  <w:num w:numId="9">
    <w:abstractNumId w:val="46"/>
  </w:num>
  <w:num w:numId="10">
    <w:abstractNumId w:val="3"/>
  </w:num>
  <w:num w:numId="11">
    <w:abstractNumId w:val="40"/>
  </w:num>
  <w:num w:numId="12">
    <w:abstractNumId w:val="45"/>
  </w:num>
  <w:num w:numId="13">
    <w:abstractNumId w:val="11"/>
  </w:num>
  <w:num w:numId="14">
    <w:abstractNumId w:val="14"/>
  </w:num>
  <w:num w:numId="15">
    <w:abstractNumId w:val="23"/>
  </w:num>
  <w:num w:numId="16">
    <w:abstractNumId w:val="22"/>
  </w:num>
  <w:num w:numId="17">
    <w:abstractNumId w:val="33"/>
  </w:num>
  <w:num w:numId="18">
    <w:abstractNumId w:val="2"/>
  </w:num>
  <w:num w:numId="19">
    <w:abstractNumId w:val="24"/>
  </w:num>
  <w:num w:numId="20">
    <w:abstractNumId w:val="18"/>
  </w:num>
  <w:num w:numId="21">
    <w:abstractNumId w:val="25"/>
  </w:num>
  <w:num w:numId="22">
    <w:abstractNumId w:val="28"/>
  </w:num>
  <w:num w:numId="23">
    <w:abstractNumId w:val="41"/>
  </w:num>
  <w:num w:numId="24">
    <w:abstractNumId w:val="27"/>
  </w:num>
  <w:num w:numId="25">
    <w:abstractNumId w:val="29"/>
  </w:num>
  <w:num w:numId="26">
    <w:abstractNumId w:val="1"/>
  </w:num>
  <w:num w:numId="27">
    <w:abstractNumId w:val="36"/>
  </w:num>
  <w:num w:numId="28">
    <w:abstractNumId w:val="32"/>
  </w:num>
  <w:num w:numId="29">
    <w:abstractNumId w:val="4"/>
  </w:num>
  <w:num w:numId="30">
    <w:abstractNumId w:val="37"/>
  </w:num>
  <w:num w:numId="31">
    <w:abstractNumId w:val="20"/>
  </w:num>
  <w:num w:numId="32">
    <w:abstractNumId w:val="13"/>
  </w:num>
  <w:num w:numId="33">
    <w:abstractNumId w:val="19"/>
  </w:num>
  <w:num w:numId="34">
    <w:abstractNumId w:val="10"/>
  </w:num>
  <w:num w:numId="35">
    <w:abstractNumId w:val="6"/>
  </w:num>
  <w:num w:numId="36">
    <w:abstractNumId w:val="7"/>
  </w:num>
  <w:num w:numId="37">
    <w:abstractNumId w:val="16"/>
  </w:num>
  <w:num w:numId="38">
    <w:abstractNumId w:val="31"/>
  </w:num>
  <w:num w:numId="39">
    <w:abstractNumId w:val="9"/>
  </w:num>
  <w:num w:numId="40">
    <w:abstractNumId w:val="21"/>
  </w:num>
  <w:num w:numId="41">
    <w:abstractNumId w:val="42"/>
  </w:num>
  <w:num w:numId="42">
    <w:abstractNumId w:val="15"/>
  </w:num>
  <w:num w:numId="43">
    <w:abstractNumId w:val="12"/>
  </w:num>
  <w:num w:numId="44">
    <w:abstractNumId w:val="38"/>
  </w:num>
  <w:num w:numId="45">
    <w:abstractNumId w:val="17"/>
  </w:num>
  <w:num w:numId="46">
    <w:abstractNumId w:val="35"/>
  </w:num>
  <w:num w:numId="47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3852"/>
    <w:rsid w:val="00000A94"/>
    <w:rsid w:val="00002F67"/>
    <w:rsid w:val="000049DE"/>
    <w:rsid w:val="000116D6"/>
    <w:rsid w:val="000202A3"/>
    <w:rsid w:val="0002519E"/>
    <w:rsid w:val="000306A7"/>
    <w:rsid w:val="000345ED"/>
    <w:rsid w:val="000369F8"/>
    <w:rsid w:val="00040DB1"/>
    <w:rsid w:val="00052C1E"/>
    <w:rsid w:val="000539F3"/>
    <w:rsid w:val="00066687"/>
    <w:rsid w:val="000679DD"/>
    <w:rsid w:val="00070CA1"/>
    <w:rsid w:val="0007210D"/>
    <w:rsid w:val="000724FA"/>
    <w:rsid w:val="0007639A"/>
    <w:rsid w:val="00082A81"/>
    <w:rsid w:val="00084283"/>
    <w:rsid w:val="00091885"/>
    <w:rsid w:val="00092942"/>
    <w:rsid w:val="00093342"/>
    <w:rsid w:val="00093A09"/>
    <w:rsid w:val="000950FF"/>
    <w:rsid w:val="00096F28"/>
    <w:rsid w:val="000A1CA9"/>
    <w:rsid w:val="000B0F5F"/>
    <w:rsid w:val="000B12F3"/>
    <w:rsid w:val="000B22D9"/>
    <w:rsid w:val="000B5E04"/>
    <w:rsid w:val="000C10D6"/>
    <w:rsid w:val="000C1E5D"/>
    <w:rsid w:val="000C4F36"/>
    <w:rsid w:val="000C7820"/>
    <w:rsid w:val="000C7EB3"/>
    <w:rsid w:val="000D2965"/>
    <w:rsid w:val="000D4C59"/>
    <w:rsid w:val="000D5A4B"/>
    <w:rsid w:val="000D60D5"/>
    <w:rsid w:val="000E63F3"/>
    <w:rsid w:val="000F00E1"/>
    <w:rsid w:val="000F496A"/>
    <w:rsid w:val="001046DD"/>
    <w:rsid w:val="001063EA"/>
    <w:rsid w:val="00111085"/>
    <w:rsid w:val="00113C8A"/>
    <w:rsid w:val="00120019"/>
    <w:rsid w:val="00120FE8"/>
    <w:rsid w:val="001246B7"/>
    <w:rsid w:val="00125BBE"/>
    <w:rsid w:val="001315B2"/>
    <w:rsid w:val="00133B7C"/>
    <w:rsid w:val="00134FC4"/>
    <w:rsid w:val="001375A9"/>
    <w:rsid w:val="00141835"/>
    <w:rsid w:val="001444CD"/>
    <w:rsid w:val="00146F83"/>
    <w:rsid w:val="00147647"/>
    <w:rsid w:val="0015067C"/>
    <w:rsid w:val="0015297B"/>
    <w:rsid w:val="001578C4"/>
    <w:rsid w:val="0017549E"/>
    <w:rsid w:val="00176A34"/>
    <w:rsid w:val="00177287"/>
    <w:rsid w:val="00177E5E"/>
    <w:rsid w:val="001830C4"/>
    <w:rsid w:val="00184ED7"/>
    <w:rsid w:val="00185388"/>
    <w:rsid w:val="00191284"/>
    <w:rsid w:val="001928E3"/>
    <w:rsid w:val="00193E21"/>
    <w:rsid w:val="001B016D"/>
    <w:rsid w:val="001B22C1"/>
    <w:rsid w:val="001B4E49"/>
    <w:rsid w:val="001C1706"/>
    <w:rsid w:val="001C1908"/>
    <w:rsid w:val="001C2A32"/>
    <w:rsid w:val="001D037B"/>
    <w:rsid w:val="001D1D9A"/>
    <w:rsid w:val="001E17E3"/>
    <w:rsid w:val="001E21D0"/>
    <w:rsid w:val="001E2A04"/>
    <w:rsid w:val="001E5A39"/>
    <w:rsid w:val="001E6A43"/>
    <w:rsid w:val="00200F39"/>
    <w:rsid w:val="002019FD"/>
    <w:rsid w:val="0021590F"/>
    <w:rsid w:val="00220E69"/>
    <w:rsid w:val="0022408A"/>
    <w:rsid w:val="002250CC"/>
    <w:rsid w:val="002269DF"/>
    <w:rsid w:val="00233CE9"/>
    <w:rsid w:val="00235ADD"/>
    <w:rsid w:val="0024686C"/>
    <w:rsid w:val="002600E6"/>
    <w:rsid w:val="0026298E"/>
    <w:rsid w:val="00267D76"/>
    <w:rsid w:val="00273CD0"/>
    <w:rsid w:val="00282E77"/>
    <w:rsid w:val="0028318D"/>
    <w:rsid w:val="00284EF6"/>
    <w:rsid w:val="00285558"/>
    <w:rsid w:val="00285667"/>
    <w:rsid w:val="002875CB"/>
    <w:rsid w:val="002916EA"/>
    <w:rsid w:val="00292639"/>
    <w:rsid w:val="00292F6C"/>
    <w:rsid w:val="0029390F"/>
    <w:rsid w:val="002A696E"/>
    <w:rsid w:val="002A758A"/>
    <w:rsid w:val="002B29A2"/>
    <w:rsid w:val="002B5EC3"/>
    <w:rsid w:val="002B67AC"/>
    <w:rsid w:val="002C16EB"/>
    <w:rsid w:val="002C7B2B"/>
    <w:rsid w:val="002C7F63"/>
    <w:rsid w:val="002D69A8"/>
    <w:rsid w:val="002E5242"/>
    <w:rsid w:val="002F7541"/>
    <w:rsid w:val="00302066"/>
    <w:rsid w:val="0030296B"/>
    <w:rsid w:val="00304DE4"/>
    <w:rsid w:val="0030707E"/>
    <w:rsid w:val="0031395B"/>
    <w:rsid w:val="003162B4"/>
    <w:rsid w:val="00320CE4"/>
    <w:rsid w:val="003341E5"/>
    <w:rsid w:val="003379B7"/>
    <w:rsid w:val="00340C2B"/>
    <w:rsid w:val="00341C5F"/>
    <w:rsid w:val="00341FA6"/>
    <w:rsid w:val="0034685F"/>
    <w:rsid w:val="003479D1"/>
    <w:rsid w:val="0035170F"/>
    <w:rsid w:val="00360AC8"/>
    <w:rsid w:val="00366657"/>
    <w:rsid w:val="00370E8F"/>
    <w:rsid w:val="003720FC"/>
    <w:rsid w:val="0038480E"/>
    <w:rsid w:val="00384BA4"/>
    <w:rsid w:val="003945DA"/>
    <w:rsid w:val="003A5DB1"/>
    <w:rsid w:val="003A62E9"/>
    <w:rsid w:val="003B6B4F"/>
    <w:rsid w:val="003B7E66"/>
    <w:rsid w:val="003C1138"/>
    <w:rsid w:val="003C6E94"/>
    <w:rsid w:val="003D0547"/>
    <w:rsid w:val="003D5CC4"/>
    <w:rsid w:val="003E1277"/>
    <w:rsid w:val="003E6DE0"/>
    <w:rsid w:val="003E7FB3"/>
    <w:rsid w:val="003F03D0"/>
    <w:rsid w:val="003F0882"/>
    <w:rsid w:val="00401253"/>
    <w:rsid w:val="00404418"/>
    <w:rsid w:val="00404536"/>
    <w:rsid w:val="00406CD8"/>
    <w:rsid w:val="00411E7C"/>
    <w:rsid w:val="004127EE"/>
    <w:rsid w:val="00412AA4"/>
    <w:rsid w:val="004131A7"/>
    <w:rsid w:val="00426CDE"/>
    <w:rsid w:val="00430EA2"/>
    <w:rsid w:val="00431FA1"/>
    <w:rsid w:val="00436889"/>
    <w:rsid w:val="00436F08"/>
    <w:rsid w:val="004416CF"/>
    <w:rsid w:val="00441996"/>
    <w:rsid w:val="00441C22"/>
    <w:rsid w:val="00466347"/>
    <w:rsid w:val="00473789"/>
    <w:rsid w:val="00474AA1"/>
    <w:rsid w:val="00477CBB"/>
    <w:rsid w:val="004832F4"/>
    <w:rsid w:val="00483425"/>
    <w:rsid w:val="00487514"/>
    <w:rsid w:val="00492F1F"/>
    <w:rsid w:val="00493DEE"/>
    <w:rsid w:val="004A1B2B"/>
    <w:rsid w:val="004A1D8A"/>
    <w:rsid w:val="004A5801"/>
    <w:rsid w:val="004A5A9B"/>
    <w:rsid w:val="004A6338"/>
    <w:rsid w:val="004B63C1"/>
    <w:rsid w:val="004B7037"/>
    <w:rsid w:val="004C0F3B"/>
    <w:rsid w:val="004C5011"/>
    <w:rsid w:val="004C6022"/>
    <w:rsid w:val="004C6397"/>
    <w:rsid w:val="004D019E"/>
    <w:rsid w:val="004D4E1A"/>
    <w:rsid w:val="004D4FCF"/>
    <w:rsid w:val="004D60C2"/>
    <w:rsid w:val="004D70CC"/>
    <w:rsid w:val="004D7E21"/>
    <w:rsid w:val="004E1D1E"/>
    <w:rsid w:val="004E789D"/>
    <w:rsid w:val="004E7C1D"/>
    <w:rsid w:val="004E7E34"/>
    <w:rsid w:val="004F006F"/>
    <w:rsid w:val="004F0A7D"/>
    <w:rsid w:val="004F68BA"/>
    <w:rsid w:val="004F6E6F"/>
    <w:rsid w:val="005212C6"/>
    <w:rsid w:val="00521ED0"/>
    <w:rsid w:val="00522CFD"/>
    <w:rsid w:val="00531ABC"/>
    <w:rsid w:val="00540D38"/>
    <w:rsid w:val="00543D0C"/>
    <w:rsid w:val="00562743"/>
    <w:rsid w:val="005766CA"/>
    <w:rsid w:val="00577AF8"/>
    <w:rsid w:val="005808E5"/>
    <w:rsid w:val="00580908"/>
    <w:rsid w:val="00581EBF"/>
    <w:rsid w:val="005833B7"/>
    <w:rsid w:val="005835EF"/>
    <w:rsid w:val="00587D36"/>
    <w:rsid w:val="00590029"/>
    <w:rsid w:val="00592309"/>
    <w:rsid w:val="00592EB2"/>
    <w:rsid w:val="00596204"/>
    <w:rsid w:val="005A3D58"/>
    <w:rsid w:val="005B5783"/>
    <w:rsid w:val="005B7181"/>
    <w:rsid w:val="005C5DEF"/>
    <w:rsid w:val="005D1FA7"/>
    <w:rsid w:val="005D2AE1"/>
    <w:rsid w:val="005D302A"/>
    <w:rsid w:val="005D6301"/>
    <w:rsid w:val="005E790C"/>
    <w:rsid w:val="005F318C"/>
    <w:rsid w:val="005F3459"/>
    <w:rsid w:val="0060006C"/>
    <w:rsid w:val="00604BA9"/>
    <w:rsid w:val="00610934"/>
    <w:rsid w:val="00617E15"/>
    <w:rsid w:val="00624F6D"/>
    <w:rsid w:val="00633373"/>
    <w:rsid w:val="00635CCE"/>
    <w:rsid w:val="00641539"/>
    <w:rsid w:val="0064455F"/>
    <w:rsid w:val="00645D63"/>
    <w:rsid w:val="00650C0C"/>
    <w:rsid w:val="0065540C"/>
    <w:rsid w:val="00661027"/>
    <w:rsid w:val="006646A0"/>
    <w:rsid w:val="00665E76"/>
    <w:rsid w:val="00665EC8"/>
    <w:rsid w:val="006728EA"/>
    <w:rsid w:val="00675D4A"/>
    <w:rsid w:val="00684A6F"/>
    <w:rsid w:val="00691653"/>
    <w:rsid w:val="00694070"/>
    <w:rsid w:val="006A0567"/>
    <w:rsid w:val="006A5AB6"/>
    <w:rsid w:val="006A61FF"/>
    <w:rsid w:val="006A6622"/>
    <w:rsid w:val="006B02E4"/>
    <w:rsid w:val="006B5497"/>
    <w:rsid w:val="006B6E21"/>
    <w:rsid w:val="006C401F"/>
    <w:rsid w:val="006D30D8"/>
    <w:rsid w:val="006D611E"/>
    <w:rsid w:val="006D789C"/>
    <w:rsid w:val="006E26FC"/>
    <w:rsid w:val="006E288D"/>
    <w:rsid w:val="006E5877"/>
    <w:rsid w:val="006F1C93"/>
    <w:rsid w:val="006F5745"/>
    <w:rsid w:val="006F5F4D"/>
    <w:rsid w:val="006F5FAC"/>
    <w:rsid w:val="007009BD"/>
    <w:rsid w:val="00713008"/>
    <w:rsid w:val="0071414B"/>
    <w:rsid w:val="00714B54"/>
    <w:rsid w:val="00723393"/>
    <w:rsid w:val="007267DE"/>
    <w:rsid w:val="007306EE"/>
    <w:rsid w:val="0073405C"/>
    <w:rsid w:val="00737260"/>
    <w:rsid w:val="00740CA4"/>
    <w:rsid w:val="0074349A"/>
    <w:rsid w:val="007442B2"/>
    <w:rsid w:val="0074478D"/>
    <w:rsid w:val="00746EDA"/>
    <w:rsid w:val="0075076B"/>
    <w:rsid w:val="00754787"/>
    <w:rsid w:val="007558BE"/>
    <w:rsid w:val="00760628"/>
    <w:rsid w:val="00760F2F"/>
    <w:rsid w:val="00762B5B"/>
    <w:rsid w:val="007651AB"/>
    <w:rsid w:val="00765293"/>
    <w:rsid w:val="00766B78"/>
    <w:rsid w:val="007707EA"/>
    <w:rsid w:val="00770901"/>
    <w:rsid w:val="007735F5"/>
    <w:rsid w:val="0077518E"/>
    <w:rsid w:val="007770E4"/>
    <w:rsid w:val="007771DF"/>
    <w:rsid w:val="00782030"/>
    <w:rsid w:val="00782DD0"/>
    <w:rsid w:val="007853CA"/>
    <w:rsid w:val="00787C29"/>
    <w:rsid w:val="00793F23"/>
    <w:rsid w:val="0079418D"/>
    <w:rsid w:val="007B0C23"/>
    <w:rsid w:val="007B1238"/>
    <w:rsid w:val="007B3179"/>
    <w:rsid w:val="007B512C"/>
    <w:rsid w:val="007B7C12"/>
    <w:rsid w:val="007C1B0B"/>
    <w:rsid w:val="007C3906"/>
    <w:rsid w:val="007C578C"/>
    <w:rsid w:val="007D267E"/>
    <w:rsid w:val="007D38BA"/>
    <w:rsid w:val="007D6443"/>
    <w:rsid w:val="007D7042"/>
    <w:rsid w:val="007E16CC"/>
    <w:rsid w:val="007E1860"/>
    <w:rsid w:val="007E7C4A"/>
    <w:rsid w:val="007F22DE"/>
    <w:rsid w:val="007F4187"/>
    <w:rsid w:val="008076F1"/>
    <w:rsid w:val="00810865"/>
    <w:rsid w:val="00811FF9"/>
    <w:rsid w:val="00812465"/>
    <w:rsid w:val="00813172"/>
    <w:rsid w:val="00813217"/>
    <w:rsid w:val="008132FC"/>
    <w:rsid w:val="00821888"/>
    <w:rsid w:val="0082342B"/>
    <w:rsid w:val="00825469"/>
    <w:rsid w:val="0084000D"/>
    <w:rsid w:val="00841FEC"/>
    <w:rsid w:val="00842F19"/>
    <w:rsid w:val="00844CD1"/>
    <w:rsid w:val="00855435"/>
    <w:rsid w:val="00864756"/>
    <w:rsid w:val="008667F0"/>
    <w:rsid w:val="00877202"/>
    <w:rsid w:val="008806B0"/>
    <w:rsid w:val="00890A55"/>
    <w:rsid w:val="00896823"/>
    <w:rsid w:val="00897ED6"/>
    <w:rsid w:val="008A2E87"/>
    <w:rsid w:val="008A5A01"/>
    <w:rsid w:val="008B33D0"/>
    <w:rsid w:val="008B6BBF"/>
    <w:rsid w:val="008C0E0C"/>
    <w:rsid w:val="008C1262"/>
    <w:rsid w:val="008C14CE"/>
    <w:rsid w:val="008C7D43"/>
    <w:rsid w:val="008D23E8"/>
    <w:rsid w:val="008E1DF4"/>
    <w:rsid w:val="008E3599"/>
    <w:rsid w:val="008E47DC"/>
    <w:rsid w:val="008E7A1B"/>
    <w:rsid w:val="008F12AD"/>
    <w:rsid w:val="008F50FE"/>
    <w:rsid w:val="008F796E"/>
    <w:rsid w:val="00900600"/>
    <w:rsid w:val="00910257"/>
    <w:rsid w:val="00911DBB"/>
    <w:rsid w:val="009158C9"/>
    <w:rsid w:val="00915EEC"/>
    <w:rsid w:val="00916F1D"/>
    <w:rsid w:val="009177E3"/>
    <w:rsid w:val="00920CD7"/>
    <w:rsid w:val="00927C9F"/>
    <w:rsid w:val="00934A35"/>
    <w:rsid w:val="009351E2"/>
    <w:rsid w:val="00941262"/>
    <w:rsid w:val="0094141C"/>
    <w:rsid w:val="009433D7"/>
    <w:rsid w:val="0094448C"/>
    <w:rsid w:val="00950B78"/>
    <w:rsid w:val="00951BFE"/>
    <w:rsid w:val="00960384"/>
    <w:rsid w:val="009616F1"/>
    <w:rsid w:val="00967AED"/>
    <w:rsid w:val="00975B4F"/>
    <w:rsid w:val="00977C59"/>
    <w:rsid w:val="00980DDB"/>
    <w:rsid w:val="00983A92"/>
    <w:rsid w:val="0099249B"/>
    <w:rsid w:val="0099646C"/>
    <w:rsid w:val="009A153D"/>
    <w:rsid w:val="009A65F0"/>
    <w:rsid w:val="009A6A38"/>
    <w:rsid w:val="009B05D3"/>
    <w:rsid w:val="009B2BD9"/>
    <w:rsid w:val="009B5878"/>
    <w:rsid w:val="009B66A3"/>
    <w:rsid w:val="009B71D1"/>
    <w:rsid w:val="009C4F70"/>
    <w:rsid w:val="009D2880"/>
    <w:rsid w:val="009E10C6"/>
    <w:rsid w:val="009E406E"/>
    <w:rsid w:val="009F4932"/>
    <w:rsid w:val="009F6134"/>
    <w:rsid w:val="00A0280B"/>
    <w:rsid w:val="00A02812"/>
    <w:rsid w:val="00A042A5"/>
    <w:rsid w:val="00A0505A"/>
    <w:rsid w:val="00A100D8"/>
    <w:rsid w:val="00A1325C"/>
    <w:rsid w:val="00A16C5C"/>
    <w:rsid w:val="00A21A8D"/>
    <w:rsid w:val="00A23326"/>
    <w:rsid w:val="00A43215"/>
    <w:rsid w:val="00A546BA"/>
    <w:rsid w:val="00A60065"/>
    <w:rsid w:val="00A61816"/>
    <w:rsid w:val="00A6553A"/>
    <w:rsid w:val="00A75415"/>
    <w:rsid w:val="00A7553F"/>
    <w:rsid w:val="00A76E44"/>
    <w:rsid w:val="00A83CAE"/>
    <w:rsid w:val="00A8793C"/>
    <w:rsid w:val="00A93D7A"/>
    <w:rsid w:val="00A94364"/>
    <w:rsid w:val="00A95127"/>
    <w:rsid w:val="00AA1E91"/>
    <w:rsid w:val="00AA2753"/>
    <w:rsid w:val="00AA3664"/>
    <w:rsid w:val="00AA438D"/>
    <w:rsid w:val="00AA55EA"/>
    <w:rsid w:val="00AB03D8"/>
    <w:rsid w:val="00AC3221"/>
    <w:rsid w:val="00AD0025"/>
    <w:rsid w:val="00AD7977"/>
    <w:rsid w:val="00AE0997"/>
    <w:rsid w:val="00AF0BF3"/>
    <w:rsid w:val="00B006B3"/>
    <w:rsid w:val="00B04018"/>
    <w:rsid w:val="00B04C22"/>
    <w:rsid w:val="00B15054"/>
    <w:rsid w:val="00B22D20"/>
    <w:rsid w:val="00B27499"/>
    <w:rsid w:val="00B318D4"/>
    <w:rsid w:val="00B3468B"/>
    <w:rsid w:val="00B34A0A"/>
    <w:rsid w:val="00B418A8"/>
    <w:rsid w:val="00B4428E"/>
    <w:rsid w:val="00B445B4"/>
    <w:rsid w:val="00B54DAE"/>
    <w:rsid w:val="00B6243C"/>
    <w:rsid w:val="00B6405F"/>
    <w:rsid w:val="00B672EE"/>
    <w:rsid w:val="00B742AB"/>
    <w:rsid w:val="00B7751E"/>
    <w:rsid w:val="00B8370B"/>
    <w:rsid w:val="00B8632C"/>
    <w:rsid w:val="00B87E2E"/>
    <w:rsid w:val="00B94CB7"/>
    <w:rsid w:val="00B9558B"/>
    <w:rsid w:val="00B9571F"/>
    <w:rsid w:val="00B97B4B"/>
    <w:rsid w:val="00B97EDF"/>
    <w:rsid w:val="00BB65C1"/>
    <w:rsid w:val="00BC7EDD"/>
    <w:rsid w:val="00BD3F09"/>
    <w:rsid w:val="00BD594D"/>
    <w:rsid w:val="00BD7D3F"/>
    <w:rsid w:val="00BE0922"/>
    <w:rsid w:val="00BE59AF"/>
    <w:rsid w:val="00BF53CE"/>
    <w:rsid w:val="00BF6B6E"/>
    <w:rsid w:val="00BF78A7"/>
    <w:rsid w:val="00C01378"/>
    <w:rsid w:val="00C0742F"/>
    <w:rsid w:val="00C17278"/>
    <w:rsid w:val="00C23545"/>
    <w:rsid w:val="00C4135A"/>
    <w:rsid w:val="00C43181"/>
    <w:rsid w:val="00C43906"/>
    <w:rsid w:val="00C4524A"/>
    <w:rsid w:val="00C45CAD"/>
    <w:rsid w:val="00C55099"/>
    <w:rsid w:val="00C55437"/>
    <w:rsid w:val="00C61CF8"/>
    <w:rsid w:val="00C61D31"/>
    <w:rsid w:val="00C67AEF"/>
    <w:rsid w:val="00C70428"/>
    <w:rsid w:val="00C74BE0"/>
    <w:rsid w:val="00C751F9"/>
    <w:rsid w:val="00C758C4"/>
    <w:rsid w:val="00C7645B"/>
    <w:rsid w:val="00C9505A"/>
    <w:rsid w:val="00C96367"/>
    <w:rsid w:val="00CA2B45"/>
    <w:rsid w:val="00CA6B5A"/>
    <w:rsid w:val="00CB0B9B"/>
    <w:rsid w:val="00CC0BFE"/>
    <w:rsid w:val="00CC1DD9"/>
    <w:rsid w:val="00CC4DAF"/>
    <w:rsid w:val="00CD4A07"/>
    <w:rsid w:val="00CE1C20"/>
    <w:rsid w:val="00CE1C7F"/>
    <w:rsid w:val="00CE362D"/>
    <w:rsid w:val="00CE775F"/>
    <w:rsid w:val="00CF08DA"/>
    <w:rsid w:val="00CF08FB"/>
    <w:rsid w:val="00CF0C7F"/>
    <w:rsid w:val="00CF1E49"/>
    <w:rsid w:val="00CF4604"/>
    <w:rsid w:val="00CF7650"/>
    <w:rsid w:val="00CF797E"/>
    <w:rsid w:val="00D01669"/>
    <w:rsid w:val="00D05859"/>
    <w:rsid w:val="00D11F01"/>
    <w:rsid w:val="00D152D8"/>
    <w:rsid w:val="00D179FB"/>
    <w:rsid w:val="00D21756"/>
    <w:rsid w:val="00D2698C"/>
    <w:rsid w:val="00D27977"/>
    <w:rsid w:val="00D35F8C"/>
    <w:rsid w:val="00D40ADE"/>
    <w:rsid w:val="00D41247"/>
    <w:rsid w:val="00D45E0E"/>
    <w:rsid w:val="00D47E0F"/>
    <w:rsid w:val="00D53794"/>
    <w:rsid w:val="00D53BCC"/>
    <w:rsid w:val="00D55024"/>
    <w:rsid w:val="00D56C86"/>
    <w:rsid w:val="00D57C4C"/>
    <w:rsid w:val="00D64F8F"/>
    <w:rsid w:val="00D659B6"/>
    <w:rsid w:val="00D728EF"/>
    <w:rsid w:val="00D87F74"/>
    <w:rsid w:val="00D967A0"/>
    <w:rsid w:val="00DA0081"/>
    <w:rsid w:val="00DA1027"/>
    <w:rsid w:val="00DA3852"/>
    <w:rsid w:val="00DA407E"/>
    <w:rsid w:val="00DA6270"/>
    <w:rsid w:val="00DB178D"/>
    <w:rsid w:val="00DB35DB"/>
    <w:rsid w:val="00DB5361"/>
    <w:rsid w:val="00DC0650"/>
    <w:rsid w:val="00DC2058"/>
    <w:rsid w:val="00DC4D94"/>
    <w:rsid w:val="00DD3F41"/>
    <w:rsid w:val="00DD79BC"/>
    <w:rsid w:val="00DE7136"/>
    <w:rsid w:val="00DF1BD3"/>
    <w:rsid w:val="00DF5DF4"/>
    <w:rsid w:val="00E01104"/>
    <w:rsid w:val="00E01D8D"/>
    <w:rsid w:val="00E04B97"/>
    <w:rsid w:val="00E10125"/>
    <w:rsid w:val="00E16317"/>
    <w:rsid w:val="00E17786"/>
    <w:rsid w:val="00E17B74"/>
    <w:rsid w:val="00E222E8"/>
    <w:rsid w:val="00E242E1"/>
    <w:rsid w:val="00E27243"/>
    <w:rsid w:val="00E3205E"/>
    <w:rsid w:val="00E410F9"/>
    <w:rsid w:val="00E41A2E"/>
    <w:rsid w:val="00E42D2C"/>
    <w:rsid w:val="00E51118"/>
    <w:rsid w:val="00E51BE2"/>
    <w:rsid w:val="00E5401A"/>
    <w:rsid w:val="00E67BE2"/>
    <w:rsid w:val="00E750F4"/>
    <w:rsid w:val="00E77C54"/>
    <w:rsid w:val="00E8018B"/>
    <w:rsid w:val="00E86D5B"/>
    <w:rsid w:val="00E9184A"/>
    <w:rsid w:val="00E9449A"/>
    <w:rsid w:val="00E94EBB"/>
    <w:rsid w:val="00EA2A81"/>
    <w:rsid w:val="00EA33E0"/>
    <w:rsid w:val="00EA5146"/>
    <w:rsid w:val="00EB0D9D"/>
    <w:rsid w:val="00EB5AC9"/>
    <w:rsid w:val="00EC0E3A"/>
    <w:rsid w:val="00EC2266"/>
    <w:rsid w:val="00EC55D2"/>
    <w:rsid w:val="00EC6881"/>
    <w:rsid w:val="00EC7690"/>
    <w:rsid w:val="00ED16FC"/>
    <w:rsid w:val="00ED5D92"/>
    <w:rsid w:val="00ED716D"/>
    <w:rsid w:val="00EE006A"/>
    <w:rsid w:val="00EE0E49"/>
    <w:rsid w:val="00EE1DC2"/>
    <w:rsid w:val="00EE30F3"/>
    <w:rsid w:val="00EE536A"/>
    <w:rsid w:val="00EE5FB3"/>
    <w:rsid w:val="00EF0BC1"/>
    <w:rsid w:val="00F03635"/>
    <w:rsid w:val="00F03DD6"/>
    <w:rsid w:val="00F05E8C"/>
    <w:rsid w:val="00F071D5"/>
    <w:rsid w:val="00F16B07"/>
    <w:rsid w:val="00F175FE"/>
    <w:rsid w:val="00F206D0"/>
    <w:rsid w:val="00F32031"/>
    <w:rsid w:val="00F32A29"/>
    <w:rsid w:val="00F33099"/>
    <w:rsid w:val="00F33D41"/>
    <w:rsid w:val="00F34C7A"/>
    <w:rsid w:val="00F350D4"/>
    <w:rsid w:val="00F35D9D"/>
    <w:rsid w:val="00F4013A"/>
    <w:rsid w:val="00F4546E"/>
    <w:rsid w:val="00F5500B"/>
    <w:rsid w:val="00F624A3"/>
    <w:rsid w:val="00F649CE"/>
    <w:rsid w:val="00F670CB"/>
    <w:rsid w:val="00F7541E"/>
    <w:rsid w:val="00F77D1E"/>
    <w:rsid w:val="00F77D92"/>
    <w:rsid w:val="00F80E6C"/>
    <w:rsid w:val="00F810B8"/>
    <w:rsid w:val="00F90143"/>
    <w:rsid w:val="00F9258E"/>
    <w:rsid w:val="00F92C98"/>
    <w:rsid w:val="00FA4CDB"/>
    <w:rsid w:val="00FC4E1D"/>
    <w:rsid w:val="00FC6A70"/>
    <w:rsid w:val="00FD2228"/>
    <w:rsid w:val="00FD7992"/>
    <w:rsid w:val="00FE006D"/>
    <w:rsid w:val="00FE00B6"/>
    <w:rsid w:val="00FE41F7"/>
    <w:rsid w:val="00FF479E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377C-4671-42EF-A868-690F8FC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A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25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48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425"/>
    <w:pPr>
      <w:ind w:left="720"/>
      <w:contextualSpacing/>
    </w:pPr>
  </w:style>
  <w:style w:type="paragraph" w:customStyle="1" w:styleId="Default">
    <w:name w:val="Default"/>
    <w:rsid w:val="002A69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9151E4-8FB7-4390-A74E-6EAD9DB8DF8A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8F534A54-5D59-46E5-B622-BA7F3A68DE7C}">
      <dgm:prSet phldrT="[Text]"/>
      <dgm:spPr/>
      <dgm:t>
        <a:bodyPr/>
        <a:lstStyle/>
        <a:p>
          <a:r>
            <a:rPr lang="en-US"/>
            <a:t>Persiapan Teknis dan Administrasi</a:t>
          </a:r>
        </a:p>
      </dgm:t>
    </dgm:pt>
    <dgm:pt modelId="{3803316F-3C62-4921-9D88-D5B0960E90CF}" type="parTrans" cxnId="{F8B4EEBA-E005-4299-8462-07FFA58D47D5}">
      <dgm:prSet/>
      <dgm:spPr/>
      <dgm:t>
        <a:bodyPr/>
        <a:lstStyle/>
        <a:p>
          <a:endParaRPr lang="en-US"/>
        </a:p>
      </dgm:t>
    </dgm:pt>
    <dgm:pt modelId="{2812CFE1-8AE8-4685-92F0-9CEA2A42B652}" type="sibTrans" cxnId="{F8B4EEBA-E005-4299-8462-07FFA58D47D5}">
      <dgm:prSet/>
      <dgm:spPr/>
      <dgm:t>
        <a:bodyPr/>
        <a:lstStyle/>
        <a:p>
          <a:endParaRPr lang="en-US"/>
        </a:p>
      </dgm:t>
    </dgm:pt>
    <dgm:pt modelId="{BB36FDC1-4952-41A9-8422-5D35C84B6400}">
      <dgm:prSet phldrT="[Text]"/>
      <dgm:spPr/>
      <dgm:t>
        <a:bodyPr/>
        <a:lstStyle/>
        <a:p>
          <a:r>
            <a:rPr lang="en-US"/>
            <a:t>Penyusunan</a:t>
          </a:r>
          <a:r>
            <a:rPr lang="en-US" baseline="0"/>
            <a:t> SOP, Instruksi Kerja (Formulir)</a:t>
          </a:r>
          <a:endParaRPr lang="en-US"/>
        </a:p>
      </dgm:t>
    </dgm:pt>
    <dgm:pt modelId="{7E87FC00-07D8-4468-A2DA-C47109B8DD11}" type="parTrans" cxnId="{999D02CB-4D54-4D9E-BB55-E80159468EE4}">
      <dgm:prSet/>
      <dgm:spPr/>
      <dgm:t>
        <a:bodyPr/>
        <a:lstStyle/>
        <a:p>
          <a:endParaRPr lang="en-US"/>
        </a:p>
      </dgm:t>
    </dgm:pt>
    <dgm:pt modelId="{DA235F37-2E27-4F35-9B1D-B71B993A4B14}" type="sibTrans" cxnId="{999D02CB-4D54-4D9E-BB55-E80159468EE4}">
      <dgm:prSet/>
      <dgm:spPr/>
      <dgm:t>
        <a:bodyPr/>
        <a:lstStyle/>
        <a:p>
          <a:endParaRPr lang="en-US"/>
        </a:p>
      </dgm:t>
    </dgm:pt>
    <dgm:pt modelId="{1F2FB401-776F-4351-B008-5ABBD83BF064}">
      <dgm:prSet phldrT="[Text]"/>
      <dgm:spPr/>
      <dgm:t>
        <a:bodyPr/>
        <a:lstStyle/>
        <a:p>
          <a:r>
            <a:rPr lang="en-US"/>
            <a:t>Sosialisasi</a:t>
          </a:r>
          <a:r>
            <a:rPr lang="en-US" baseline="0"/>
            <a:t> Standar </a:t>
          </a:r>
          <a:r>
            <a:rPr lang="id-ID" baseline="0"/>
            <a:t>evaluasi kinerja</a:t>
          </a:r>
          <a:r>
            <a:rPr lang="en-US" baseline="0"/>
            <a:t>, SOP dan Formulir</a:t>
          </a:r>
          <a:endParaRPr lang="en-US"/>
        </a:p>
      </dgm:t>
    </dgm:pt>
    <dgm:pt modelId="{CC2AD9D5-E55A-46B3-8FE0-749BC89B8854}" type="parTrans" cxnId="{10DEED36-6DE7-478D-8CC9-FFC7EA6CE0A4}">
      <dgm:prSet/>
      <dgm:spPr/>
      <dgm:t>
        <a:bodyPr/>
        <a:lstStyle/>
        <a:p>
          <a:endParaRPr lang="en-US"/>
        </a:p>
      </dgm:t>
    </dgm:pt>
    <dgm:pt modelId="{2DA330D1-3FF3-4F7B-B26F-4778B2CA1FC3}" type="sibTrans" cxnId="{10DEED36-6DE7-478D-8CC9-FFC7EA6CE0A4}">
      <dgm:prSet/>
      <dgm:spPr/>
      <dgm:t>
        <a:bodyPr/>
        <a:lstStyle/>
        <a:p>
          <a:endParaRPr lang="en-US"/>
        </a:p>
      </dgm:t>
    </dgm:pt>
    <dgm:pt modelId="{1373C381-E0C9-4BC4-91DC-948E03C6DA74}">
      <dgm:prSet/>
      <dgm:spPr/>
      <dgm:t>
        <a:bodyPr/>
        <a:lstStyle/>
        <a:p>
          <a:r>
            <a:rPr lang="en-US"/>
            <a:t>Pelaksanaan / Pemenuhan Standar </a:t>
          </a:r>
          <a:r>
            <a:rPr lang="id-ID"/>
            <a:t>AIK</a:t>
          </a:r>
          <a:endParaRPr lang="en-US"/>
        </a:p>
      </dgm:t>
    </dgm:pt>
    <dgm:pt modelId="{6A0D327D-BF88-447C-A06F-CA5967F92116}" type="parTrans" cxnId="{2EEADBC8-C04C-4273-87C7-B17FFDBB27B0}">
      <dgm:prSet/>
      <dgm:spPr/>
      <dgm:t>
        <a:bodyPr/>
        <a:lstStyle/>
        <a:p>
          <a:endParaRPr lang="en-US"/>
        </a:p>
      </dgm:t>
    </dgm:pt>
    <dgm:pt modelId="{030A56D3-E2CF-45FC-903E-3CB0008F476D}" type="sibTrans" cxnId="{2EEADBC8-C04C-4273-87C7-B17FFDBB27B0}">
      <dgm:prSet/>
      <dgm:spPr/>
      <dgm:t>
        <a:bodyPr/>
        <a:lstStyle/>
        <a:p>
          <a:endParaRPr lang="en-US"/>
        </a:p>
      </dgm:t>
    </dgm:pt>
    <dgm:pt modelId="{A8E3E83A-0081-43E7-BD4E-4F4813459EBF}" type="pres">
      <dgm:prSet presAssocID="{CE9151E4-8FB7-4390-A74E-6EAD9DB8DF8A}" presName="linearFlow" presStyleCnt="0">
        <dgm:presLayoutVars>
          <dgm:resizeHandles val="exact"/>
        </dgm:presLayoutVars>
      </dgm:prSet>
      <dgm:spPr/>
    </dgm:pt>
    <dgm:pt modelId="{1B957A61-1841-4DDF-AC22-C609B6B33DC7}" type="pres">
      <dgm:prSet presAssocID="{8F534A54-5D59-46E5-B622-BA7F3A68DE7C}" presName="node" presStyleLbl="node1" presStyleIdx="0" presStyleCnt="4" custScaleX="244591" custLinFactNeighborY="-5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EE9659-FC92-4DD1-B048-B597302B676F}" type="pres">
      <dgm:prSet presAssocID="{2812CFE1-8AE8-4685-92F0-9CEA2A42B65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D75B0C6F-B5F8-4D59-ABBB-3DF10D649A25}" type="pres">
      <dgm:prSet presAssocID="{2812CFE1-8AE8-4685-92F0-9CEA2A42B65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63E64D5-6951-4983-9498-1D690F7071D9}" type="pres">
      <dgm:prSet presAssocID="{BB36FDC1-4952-41A9-8422-5D35C84B6400}" presName="node" presStyleLbl="node1" presStyleIdx="1" presStyleCnt="4" custScaleX="24459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021B10-A8B6-4D96-9535-1A06EA2B0B02}" type="pres">
      <dgm:prSet presAssocID="{DA235F37-2E27-4F35-9B1D-B71B993A4B1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B29B978-DCC5-4DE1-A3DB-1886EECDF45C}" type="pres">
      <dgm:prSet presAssocID="{DA235F37-2E27-4F35-9B1D-B71B993A4B14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3454C58-D744-431C-8C9D-5B3CD3BFD175}" type="pres">
      <dgm:prSet presAssocID="{1F2FB401-776F-4351-B008-5ABBD83BF064}" presName="node" presStyleLbl="node1" presStyleIdx="2" presStyleCnt="4" custScaleX="24459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930292-1A4E-4FEF-9B02-3A4826A142D0}" type="pres">
      <dgm:prSet presAssocID="{2DA330D1-3FF3-4F7B-B26F-4778B2CA1FC3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64E3077-5D71-469D-8443-5159A2313C88}" type="pres">
      <dgm:prSet presAssocID="{2DA330D1-3FF3-4F7B-B26F-4778B2CA1FC3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B727E059-D8C9-4169-8917-890F49AF59C0}" type="pres">
      <dgm:prSet presAssocID="{1373C381-E0C9-4BC4-91DC-948E03C6DA74}" presName="node" presStyleLbl="node1" presStyleIdx="3" presStyleCnt="4" custScaleX="24459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D53F79-7A04-48DF-A538-D7B69A9AF78B}" type="presOf" srcId="{DA235F37-2E27-4F35-9B1D-B71B993A4B14}" destId="{26021B10-A8B6-4D96-9535-1A06EA2B0B02}" srcOrd="0" destOrd="0" presId="urn:microsoft.com/office/officeart/2005/8/layout/process2"/>
    <dgm:cxn modelId="{B0DE3876-B6CB-4E6D-BA09-AB860EECD412}" type="presOf" srcId="{2812CFE1-8AE8-4685-92F0-9CEA2A42B652}" destId="{D75B0C6F-B5F8-4D59-ABBB-3DF10D649A25}" srcOrd="1" destOrd="0" presId="urn:microsoft.com/office/officeart/2005/8/layout/process2"/>
    <dgm:cxn modelId="{D4DFEA24-78BD-4714-A1BE-5EF47B9C54B0}" type="presOf" srcId="{2812CFE1-8AE8-4685-92F0-9CEA2A42B652}" destId="{64EE9659-FC92-4DD1-B048-B597302B676F}" srcOrd="0" destOrd="0" presId="urn:microsoft.com/office/officeart/2005/8/layout/process2"/>
    <dgm:cxn modelId="{0539BC4A-A6F0-4B16-8E41-4F4CA696BBEE}" type="presOf" srcId="{CE9151E4-8FB7-4390-A74E-6EAD9DB8DF8A}" destId="{A8E3E83A-0081-43E7-BD4E-4F4813459EBF}" srcOrd="0" destOrd="0" presId="urn:microsoft.com/office/officeart/2005/8/layout/process2"/>
    <dgm:cxn modelId="{6FCAEAB7-BBCA-4C48-B60E-0F12AFA8083C}" type="presOf" srcId="{1F2FB401-776F-4351-B008-5ABBD83BF064}" destId="{43454C58-D744-431C-8C9D-5B3CD3BFD175}" srcOrd="0" destOrd="0" presId="urn:microsoft.com/office/officeart/2005/8/layout/process2"/>
    <dgm:cxn modelId="{A93238A9-3FA0-473B-901B-A91620DB7A50}" type="presOf" srcId="{BB36FDC1-4952-41A9-8422-5D35C84B6400}" destId="{C63E64D5-6951-4983-9498-1D690F7071D9}" srcOrd="0" destOrd="0" presId="urn:microsoft.com/office/officeart/2005/8/layout/process2"/>
    <dgm:cxn modelId="{E3C2AAF4-EDFC-42F0-B3B7-1F620059600A}" type="presOf" srcId="{2DA330D1-3FF3-4F7B-B26F-4778B2CA1FC3}" destId="{164E3077-5D71-469D-8443-5159A2313C88}" srcOrd="1" destOrd="0" presId="urn:microsoft.com/office/officeart/2005/8/layout/process2"/>
    <dgm:cxn modelId="{2EEADBC8-C04C-4273-87C7-B17FFDBB27B0}" srcId="{CE9151E4-8FB7-4390-A74E-6EAD9DB8DF8A}" destId="{1373C381-E0C9-4BC4-91DC-948E03C6DA74}" srcOrd="3" destOrd="0" parTransId="{6A0D327D-BF88-447C-A06F-CA5967F92116}" sibTransId="{030A56D3-E2CF-45FC-903E-3CB0008F476D}"/>
    <dgm:cxn modelId="{86572D74-F829-4291-8273-130101D63098}" type="presOf" srcId="{1373C381-E0C9-4BC4-91DC-948E03C6DA74}" destId="{B727E059-D8C9-4169-8917-890F49AF59C0}" srcOrd="0" destOrd="0" presId="urn:microsoft.com/office/officeart/2005/8/layout/process2"/>
    <dgm:cxn modelId="{A022CE29-7078-4ABC-B337-52B53889B53B}" type="presOf" srcId="{8F534A54-5D59-46E5-B622-BA7F3A68DE7C}" destId="{1B957A61-1841-4DDF-AC22-C609B6B33DC7}" srcOrd="0" destOrd="0" presId="urn:microsoft.com/office/officeart/2005/8/layout/process2"/>
    <dgm:cxn modelId="{999D02CB-4D54-4D9E-BB55-E80159468EE4}" srcId="{CE9151E4-8FB7-4390-A74E-6EAD9DB8DF8A}" destId="{BB36FDC1-4952-41A9-8422-5D35C84B6400}" srcOrd="1" destOrd="0" parTransId="{7E87FC00-07D8-4468-A2DA-C47109B8DD11}" sibTransId="{DA235F37-2E27-4F35-9B1D-B71B993A4B14}"/>
    <dgm:cxn modelId="{6745D1E1-DC6F-41A5-AF4A-2BEFD8D3EE38}" type="presOf" srcId="{DA235F37-2E27-4F35-9B1D-B71B993A4B14}" destId="{6B29B978-DCC5-4DE1-A3DB-1886EECDF45C}" srcOrd="1" destOrd="0" presId="urn:microsoft.com/office/officeart/2005/8/layout/process2"/>
    <dgm:cxn modelId="{F8B4EEBA-E005-4299-8462-07FFA58D47D5}" srcId="{CE9151E4-8FB7-4390-A74E-6EAD9DB8DF8A}" destId="{8F534A54-5D59-46E5-B622-BA7F3A68DE7C}" srcOrd="0" destOrd="0" parTransId="{3803316F-3C62-4921-9D88-D5B0960E90CF}" sibTransId="{2812CFE1-8AE8-4685-92F0-9CEA2A42B652}"/>
    <dgm:cxn modelId="{10DEED36-6DE7-478D-8CC9-FFC7EA6CE0A4}" srcId="{CE9151E4-8FB7-4390-A74E-6EAD9DB8DF8A}" destId="{1F2FB401-776F-4351-B008-5ABBD83BF064}" srcOrd="2" destOrd="0" parTransId="{CC2AD9D5-E55A-46B3-8FE0-749BC89B8854}" sibTransId="{2DA330D1-3FF3-4F7B-B26F-4778B2CA1FC3}"/>
    <dgm:cxn modelId="{D195E7CB-4BDC-41D7-93B3-9978617A3B4F}" type="presOf" srcId="{2DA330D1-3FF3-4F7B-B26F-4778B2CA1FC3}" destId="{92930292-1A4E-4FEF-9B02-3A4826A142D0}" srcOrd="0" destOrd="0" presId="urn:microsoft.com/office/officeart/2005/8/layout/process2"/>
    <dgm:cxn modelId="{1E3F0BAC-F0C1-4F7C-8F55-BC642E95181C}" type="presParOf" srcId="{A8E3E83A-0081-43E7-BD4E-4F4813459EBF}" destId="{1B957A61-1841-4DDF-AC22-C609B6B33DC7}" srcOrd="0" destOrd="0" presId="urn:microsoft.com/office/officeart/2005/8/layout/process2"/>
    <dgm:cxn modelId="{A39A538F-6E5C-481E-8B85-B663A3644E5C}" type="presParOf" srcId="{A8E3E83A-0081-43E7-BD4E-4F4813459EBF}" destId="{64EE9659-FC92-4DD1-B048-B597302B676F}" srcOrd="1" destOrd="0" presId="urn:microsoft.com/office/officeart/2005/8/layout/process2"/>
    <dgm:cxn modelId="{BA3C6FCF-1A68-41B8-9F8C-46C4F430265C}" type="presParOf" srcId="{64EE9659-FC92-4DD1-B048-B597302B676F}" destId="{D75B0C6F-B5F8-4D59-ABBB-3DF10D649A25}" srcOrd="0" destOrd="0" presId="urn:microsoft.com/office/officeart/2005/8/layout/process2"/>
    <dgm:cxn modelId="{68508EB3-89C9-4B84-8C40-BA9400EBFE03}" type="presParOf" srcId="{A8E3E83A-0081-43E7-BD4E-4F4813459EBF}" destId="{C63E64D5-6951-4983-9498-1D690F7071D9}" srcOrd="2" destOrd="0" presId="urn:microsoft.com/office/officeart/2005/8/layout/process2"/>
    <dgm:cxn modelId="{5DB7748D-B66A-4313-9501-A485E6F4A13B}" type="presParOf" srcId="{A8E3E83A-0081-43E7-BD4E-4F4813459EBF}" destId="{26021B10-A8B6-4D96-9535-1A06EA2B0B02}" srcOrd="3" destOrd="0" presId="urn:microsoft.com/office/officeart/2005/8/layout/process2"/>
    <dgm:cxn modelId="{F63A3DE5-DA0A-4E9D-B7EF-2D1C7DD59655}" type="presParOf" srcId="{26021B10-A8B6-4D96-9535-1A06EA2B0B02}" destId="{6B29B978-DCC5-4DE1-A3DB-1886EECDF45C}" srcOrd="0" destOrd="0" presId="urn:microsoft.com/office/officeart/2005/8/layout/process2"/>
    <dgm:cxn modelId="{D7A74A0A-2CA0-49B4-879E-C037169F67BF}" type="presParOf" srcId="{A8E3E83A-0081-43E7-BD4E-4F4813459EBF}" destId="{43454C58-D744-431C-8C9D-5B3CD3BFD175}" srcOrd="4" destOrd="0" presId="urn:microsoft.com/office/officeart/2005/8/layout/process2"/>
    <dgm:cxn modelId="{B785DE1A-782D-4B9E-A043-53C60777025C}" type="presParOf" srcId="{A8E3E83A-0081-43E7-BD4E-4F4813459EBF}" destId="{92930292-1A4E-4FEF-9B02-3A4826A142D0}" srcOrd="5" destOrd="0" presId="urn:microsoft.com/office/officeart/2005/8/layout/process2"/>
    <dgm:cxn modelId="{81B8C3AF-D1F6-45E5-BCBA-41E8A76FB233}" type="presParOf" srcId="{92930292-1A4E-4FEF-9B02-3A4826A142D0}" destId="{164E3077-5D71-469D-8443-5159A2313C88}" srcOrd="0" destOrd="0" presId="urn:microsoft.com/office/officeart/2005/8/layout/process2"/>
    <dgm:cxn modelId="{A65F3848-9870-4C0A-92B9-84D443BD55EA}" type="presParOf" srcId="{A8E3E83A-0081-43E7-BD4E-4F4813459EBF}" destId="{B727E059-D8C9-4169-8917-890F49AF59C0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9151E4-8FB7-4390-A74E-6EAD9DB8DF8A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8F534A54-5D59-46E5-B622-BA7F3A68DE7C}">
      <dgm:prSet phldrT="[Text]"/>
      <dgm:spPr/>
      <dgm:t>
        <a:bodyPr/>
        <a:lstStyle/>
        <a:p>
          <a:r>
            <a:rPr lang="en-US"/>
            <a:t>Monitoring dan Evaluasi</a:t>
          </a:r>
        </a:p>
      </dgm:t>
    </dgm:pt>
    <dgm:pt modelId="{3803316F-3C62-4921-9D88-D5B0960E90CF}" type="parTrans" cxnId="{F8B4EEBA-E005-4299-8462-07FFA58D47D5}">
      <dgm:prSet/>
      <dgm:spPr/>
      <dgm:t>
        <a:bodyPr/>
        <a:lstStyle/>
        <a:p>
          <a:endParaRPr lang="en-US"/>
        </a:p>
      </dgm:t>
    </dgm:pt>
    <dgm:pt modelId="{2812CFE1-8AE8-4685-92F0-9CEA2A42B652}" type="sibTrans" cxnId="{F8B4EEBA-E005-4299-8462-07FFA58D47D5}">
      <dgm:prSet/>
      <dgm:spPr/>
      <dgm:t>
        <a:bodyPr/>
        <a:lstStyle/>
        <a:p>
          <a:endParaRPr lang="en-US"/>
        </a:p>
      </dgm:t>
    </dgm:pt>
    <dgm:pt modelId="{BB36FDC1-4952-41A9-8422-5D35C84B6400}">
      <dgm:prSet phldrT="[Text]"/>
      <dgm:spPr/>
      <dgm:t>
        <a:bodyPr/>
        <a:lstStyle/>
        <a:p>
          <a:r>
            <a:rPr lang="en-US"/>
            <a:t>Pencatatan dan Pemeriksaan Pelaksanaan Standar &amp; Kelengkapan Dokumen </a:t>
          </a:r>
          <a:r>
            <a:rPr lang="id-ID"/>
            <a:t>standar AIK</a:t>
          </a:r>
          <a:endParaRPr lang="en-US"/>
        </a:p>
      </dgm:t>
    </dgm:pt>
    <dgm:pt modelId="{7E87FC00-07D8-4468-A2DA-C47109B8DD11}" type="parTrans" cxnId="{999D02CB-4D54-4D9E-BB55-E80159468EE4}">
      <dgm:prSet/>
      <dgm:spPr/>
      <dgm:t>
        <a:bodyPr/>
        <a:lstStyle/>
        <a:p>
          <a:endParaRPr lang="en-US"/>
        </a:p>
      </dgm:t>
    </dgm:pt>
    <dgm:pt modelId="{DA235F37-2E27-4F35-9B1D-B71B993A4B14}" type="sibTrans" cxnId="{999D02CB-4D54-4D9E-BB55-E80159468EE4}">
      <dgm:prSet/>
      <dgm:spPr/>
      <dgm:t>
        <a:bodyPr/>
        <a:lstStyle/>
        <a:p>
          <a:endParaRPr lang="en-US"/>
        </a:p>
      </dgm:t>
    </dgm:pt>
    <dgm:pt modelId="{1F2FB401-776F-4351-B008-5ABBD83BF064}">
      <dgm:prSet phldrT="[Text]"/>
      <dgm:spPr/>
      <dgm:t>
        <a:bodyPr/>
        <a:lstStyle/>
        <a:p>
          <a:r>
            <a:rPr lang="en-US"/>
            <a:t>Tindakan korektif terhadap setiap Penyimpangan Pelaksanaan Standar </a:t>
          </a:r>
          <a:r>
            <a:rPr lang="id-ID"/>
            <a:t>AIK</a:t>
          </a:r>
          <a:endParaRPr lang="en-US"/>
        </a:p>
      </dgm:t>
    </dgm:pt>
    <dgm:pt modelId="{CC2AD9D5-E55A-46B3-8FE0-749BC89B8854}" type="parTrans" cxnId="{10DEED36-6DE7-478D-8CC9-FFC7EA6CE0A4}">
      <dgm:prSet/>
      <dgm:spPr/>
      <dgm:t>
        <a:bodyPr/>
        <a:lstStyle/>
        <a:p>
          <a:endParaRPr lang="en-US"/>
        </a:p>
      </dgm:t>
    </dgm:pt>
    <dgm:pt modelId="{2DA330D1-3FF3-4F7B-B26F-4778B2CA1FC3}" type="sibTrans" cxnId="{10DEED36-6DE7-478D-8CC9-FFC7EA6CE0A4}">
      <dgm:prSet/>
      <dgm:spPr/>
      <dgm:t>
        <a:bodyPr/>
        <a:lstStyle/>
        <a:p>
          <a:endParaRPr lang="en-US"/>
        </a:p>
      </dgm:t>
    </dgm:pt>
    <dgm:pt modelId="{1373C381-E0C9-4BC4-91DC-948E03C6DA74}">
      <dgm:prSet/>
      <dgm:spPr/>
      <dgm:t>
        <a:bodyPr/>
        <a:lstStyle/>
        <a:p>
          <a:r>
            <a:rPr lang="en-US"/>
            <a:t>Pembuatan</a:t>
          </a:r>
          <a:r>
            <a:rPr lang="en-US" baseline="0"/>
            <a:t> Laporan</a:t>
          </a:r>
          <a:endParaRPr lang="en-US"/>
        </a:p>
      </dgm:t>
    </dgm:pt>
    <dgm:pt modelId="{6A0D327D-BF88-447C-A06F-CA5967F92116}" type="parTrans" cxnId="{2EEADBC8-C04C-4273-87C7-B17FFDBB27B0}">
      <dgm:prSet/>
      <dgm:spPr/>
      <dgm:t>
        <a:bodyPr/>
        <a:lstStyle/>
        <a:p>
          <a:endParaRPr lang="en-US"/>
        </a:p>
      </dgm:t>
    </dgm:pt>
    <dgm:pt modelId="{030A56D3-E2CF-45FC-903E-3CB0008F476D}" type="sibTrans" cxnId="{2EEADBC8-C04C-4273-87C7-B17FFDBB27B0}">
      <dgm:prSet/>
      <dgm:spPr/>
      <dgm:t>
        <a:bodyPr/>
        <a:lstStyle/>
        <a:p>
          <a:endParaRPr lang="en-US"/>
        </a:p>
      </dgm:t>
    </dgm:pt>
    <dgm:pt modelId="{A8E3E83A-0081-43E7-BD4E-4F4813459EBF}" type="pres">
      <dgm:prSet presAssocID="{CE9151E4-8FB7-4390-A74E-6EAD9DB8DF8A}" presName="linearFlow" presStyleCnt="0">
        <dgm:presLayoutVars>
          <dgm:resizeHandles val="exact"/>
        </dgm:presLayoutVars>
      </dgm:prSet>
      <dgm:spPr/>
    </dgm:pt>
    <dgm:pt modelId="{1B957A61-1841-4DDF-AC22-C609B6B33DC7}" type="pres">
      <dgm:prSet presAssocID="{8F534A54-5D59-46E5-B622-BA7F3A68DE7C}" presName="node" presStyleLbl="node1" presStyleIdx="0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EE9659-FC92-4DD1-B048-B597302B676F}" type="pres">
      <dgm:prSet presAssocID="{2812CFE1-8AE8-4685-92F0-9CEA2A42B652}" presName="sibTrans" presStyleLbl="sibTrans2D1" presStyleIdx="0" presStyleCnt="3"/>
      <dgm:spPr/>
      <dgm:t>
        <a:bodyPr/>
        <a:lstStyle/>
        <a:p>
          <a:endParaRPr lang="en-US"/>
        </a:p>
      </dgm:t>
    </dgm:pt>
    <dgm:pt modelId="{D75B0C6F-B5F8-4D59-ABBB-3DF10D649A25}" type="pres">
      <dgm:prSet presAssocID="{2812CFE1-8AE8-4685-92F0-9CEA2A42B652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63E64D5-6951-4983-9498-1D690F7071D9}" type="pres">
      <dgm:prSet presAssocID="{BB36FDC1-4952-41A9-8422-5D35C84B6400}" presName="node" presStyleLbl="node1" presStyleIdx="1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021B10-A8B6-4D96-9535-1A06EA2B0B02}" type="pres">
      <dgm:prSet presAssocID="{DA235F37-2E27-4F35-9B1D-B71B993A4B14}" presName="sibTrans" presStyleLbl="sibTrans2D1" presStyleIdx="1" presStyleCnt="3"/>
      <dgm:spPr/>
      <dgm:t>
        <a:bodyPr/>
        <a:lstStyle/>
        <a:p>
          <a:endParaRPr lang="en-US"/>
        </a:p>
      </dgm:t>
    </dgm:pt>
    <dgm:pt modelId="{6B29B978-DCC5-4DE1-A3DB-1886EECDF45C}" type="pres">
      <dgm:prSet presAssocID="{DA235F37-2E27-4F35-9B1D-B71B993A4B14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43454C58-D744-431C-8C9D-5B3CD3BFD175}" type="pres">
      <dgm:prSet presAssocID="{1F2FB401-776F-4351-B008-5ABBD83BF064}" presName="node" presStyleLbl="node1" presStyleIdx="2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930292-1A4E-4FEF-9B02-3A4826A142D0}" type="pres">
      <dgm:prSet presAssocID="{2DA330D1-3FF3-4F7B-B26F-4778B2CA1FC3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64E3077-5D71-469D-8443-5159A2313C88}" type="pres">
      <dgm:prSet presAssocID="{2DA330D1-3FF3-4F7B-B26F-4778B2CA1FC3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B727E059-D8C9-4169-8917-890F49AF59C0}" type="pres">
      <dgm:prSet presAssocID="{1373C381-E0C9-4BC4-91DC-948E03C6DA74}" presName="node" presStyleLbl="node1" presStyleIdx="3" presStyleCnt="4" custScaleX="129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0AC670-57B1-4DFE-A6C9-1655CB9EA698}" type="presOf" srcId="{2812CFE1-8AE8-4685-92F0-9CEA2A42B652}" destId="{D75B0C6F-B5F8-4D59-ABBB-3DF10D649A25}" srcOrd="1" destOrd="0" presId="urn:microsoft.com/office/officeart/2005/8/layout/process2"/>
    <dgm:cxn modelId="{A9F66B70-1E3D-4CFE-AE3F-BFC8ADA0717F}" type="presOf" srcId="{BB36FDC1-4952-41A9-8422-5D35C84B6400}" destId="{C63E64D5-6951-4983-9498-1D690F7071D9}" srcOrd="0" destOrd="0" presId="urn:microsoft.com/office/officeart/2005/8/layout/process2"/>
    <dgm:cxn modelId="{ED911C05-999F-403C-89B4-43F19B099582}" type="presOf" srcId="{DA235F37-2E27-4F35-9B1D-B71B993A4B14}" destId="{26021B10-A8B6-4D96-9535-1A06EA2B0B02}" srcOrd="0" destOrd="0" presId="urn:microsoft.com/office/officeart/2005/8/layout/process2"/>
    <dgm:cxn modelId="{710EE1C3-5D19-48A3-B8C5-C9B7AB9A5327}" type="presOf" srcId="{2812CFE1-8AE8-4685-92F0-9CEA2A42B652}" destId="{64EE9659-FC92-4DD1-B048-B597302B676F}" srcOrd="0" destOrd="0" presId="urn:microsoft.com/office/officeart/2005/8/layout/process2"/>
    <dgm:cxn modelId="{FDF78D61-0F26-4B00-9634-60B15BCB1DDC}" type="presOf" srcId="{DA235F37-2E27-4F35-9B1D-B71B993A4B14}" destId="{6B29B978-DCC5-4DE1-A3DB-1886EECDF45C}" srcOrd="1" destOrd="0" presId="urn:microsoft.com/office/officeart/2005/8/layout/process2"/>
    <dgm:cxn modelId="{FD52F6C2-8021-41AD-BC81-1CBC7BDD9BF9}" type="presOf" srcId="{1F2FB401-776F-4351-B008-5ABBD83BF064}" destId="{43454C58-D744-431C-8C9D-5B3CD3BFD175}" srcOrd="0" destOrd="0" presId="urn:microsoft.com/office/officeart/2005/8/layout/process2"/>
    <dgm:cxn modelId="{2EEADBC8-C04C-4273-87C7-B17FFDBB27B0}" srcId="{CE9151E4-8FB7-4390-A74E-6EAD9DB8DF8A}" destId="{1373C381-E0C9-4BC4-91DC-948E03C6DA74}" srcOrd="3" destOrd="0" parTransId="{6A0D327D-BF88-447C-A06F-CA5967F92116}" sibTransId="{030A56D3-E2CF-45FC-903E-3CB0008F476D}"/>
    <dgm:cxn modelId="{A76051F0-24AA-4FA5-844B-4C8DF0798A56}" type="presOf" srcId="{2DA330D1-3FF3-4F7B-B26F-4778B2CA1FC3}" destId="{92930292-1A4E-4FEF-9B02-3A4826A142D0}" srcOrd="0" destOrd="0" presId="urn:microsoft.com/office/officeart/2005/8/layout/process2"/>
    <dgm:cxn modelId="{999D02CB-4D54-4D9E-BB55-E80159468EE4}" srcId="{CE9151E4-8FB7-4390-A74E-6EAD9DB8DF8A}" destId="{BB36FDC1-4952-41A9-8422-5D35C84B6400}" srcOrd="1" destOrd="0" parTransId="{7E87FC00-07D8-4468-A2DA-C47109B8DD11}" sibTransId="{DA235F37-2E27-4F35-9B1D-B71B993A4B14}"/>
    <dgm:cxn modelId="{8D8EC8DD-4212-4BE5-9E83-5EB433D2B7D3}" type="presOf" srcId="{CE9151E4-8FB7-4390-A74E-6EAD9DB8DF8A}" destId="{A8E3E83A-0081-43E7-BD4E-4F4813459EBF}" srcOrd="0" destOrd="0" presId="urn:microsoft.com/office/officeart/2005/8/layout/process2"/>
    <dgm:cxn modelId="{F8B4EEBA-E005-4299-8462-07FFA58D47D5}" srcId="{CE9151E4-8FB7-4390-A74E-6EAD9DB8DF8A}" destId="{8F534A54-5D59-46E5-B622-BA7F3A68DE7C}" srcOrd="0" destOrd="0" parTransId="{3803316F-3C62-4921-9D88-D5B0960E90CF}" sibTransId="{2812CFE1-8AE8-4685-92F0-9CEA2A42B652}"/>
    <dgm:cxn modelId="{10DEED36-6DE7-478D-8CC9-FFC7EA6CE0A4}" srcId="{CE9151E4-8FB7-4390-A74E-6EAD9DB8DF8A}" destId="{1F2FB401-776F-4351-B008-5ABBD83BF064}" srcOrd="2" destOrd="0" parTransId="{CC2AD9D5-E55A-46B3-8FE0-749BC89B8854}" sibTransId="{2DA330D1-3FF3-4F7B-B26F-4778B2CA1FC3}"/>
    <dgm:cxn modelId="{D899EE7E-D699-495E-8086-DA14918C1A43}" type="presOf" srcId="{1373C381-E0C9-4BC4-91DC-948E03C6DA74}" destId="{B727E059-D8C9-4169-8917-890F49AF59C0}" srcOrd="0" destOrd="0" presId="urn:microsoft.com/office/officeart/2005/8/layout/process2"/>
    <dgm:cxn modelId="{8E9AA2C3-128B-40F1-AD26-B409C910D40D}" type="presOf" srcId="{2DA330D1-3FF3-4F7B-B26F-4778B2CA1FC3}" destId="{164E3077-5D71-469D-8443-5159A2313C88}" srcOrd="1" destOrd="0" presId="urn:microsoft.com/office/officeart/2005/8/layout/process2"/>
    <dgm:cxn modelId="{641E4FBF-9045-445C-892F-911878B3ABA9}" type="presOf" srcId="{8F534A54-5D59-46E5-B622-BA7F3A68DE7C}" destId="{1B957A61-1841-4DDF-AC22-C609B6B33DC7}" srcOrd="0" destOrd="0" presId="urn:microsoft.com/office/officeart/2005/8/layout/process2"/>
    <dgm:cxn modelId="{ECBA9FF2-6AFF-43D3-B338-5469D97347BA}" type="presParOf" srcId="{A8E3E83A-0081-43E7-BD4E-4F4813459EBF}" destId="{1B957A61-1841-4DDF-AC22-C609B6B33DC7}" srcOrd="0" destOrd="0" presId="urn:microsoft.com/office/officeart/2005/8/layout/process2"/>
    <dgm:cxn modelId="{355337D1-213F-4D7E-A073-3624C7C0D0E4}" type="presParOf" srcId="{A8E3E83A-0081-43E7-BD4E-4F4813459EBF}" destId="{64EE9659-FC92-4DD1-B048-B597302B676F}" srcOrd="1" destOrd="0" presId="urn:microsoft.com/office/officeart/2005/8/layout/process2"/>
    <dgm:cxn modelId="{47A772A5-03FC-40E2-A039-5601FE3B6357}" type="presParOf" srcId="{64EE9659-FC92-4DD1-B048-B597302B676F}" destId="{D75B0C6F-B5F8-4D59-ABBB-3DF10D649A25}" srcOrd="0" destOrd="0" presId="urn:microsoft.com/office/officeart/2005/8/layout/process2"/>
    <dgm:cxn modelId="{544D05D3-76E4-4A08-86FA-0C09B38BF641}" type="presParOf" srcId="{A8E3E83A-0081-43E7-BD4E-4F4813459EBF}" destId="{C63E64D5-6951-4983-9498-1D690F7071D9}" srcOrd="2" destOrd="0" presId="urn:microsoft.com/office/officeart/2005/8/layout/process2"/>
    <dgm:cxn modelId="{0211711E-E77F-4B3F-8BB4-D4C2B5D81D27}" type="presParOf" srcId="{A8E3E83A-0081-43E7-BD4E-4F4813459EBF}" destId="{26021B10-A8B6-4D96-9535-1A06EA2B0B02}" srcOrd="3" destOrd="0" presId="urn:microsoft.com/office/officeart/2005/8/layout/process2"/>
    <dgm:cxn modelId="{CDAE6A62-4FBD-4A0A-832A-D334C70B9744}" type="presParOf" srcId="{26021B10-A8B6-4D96-9535-1A06EA2B0B02}" destId="{6B29B978-DCC5-4DE1-A3DB-1886EECDF45C}" srcOrd="0" destOrd="0" presId="urn:microsoft.com/office/officeart/2005/8/layout/process2"/>
    <dgm:cxn modelId="{D463AD95-A931-46FD-A472-067087A3EE87}" type="presParOf" srcId="{A8E3E83A-0081-43E7-BD4E-4F4813459EBF}" destId="{43454C58-D744-431C-8C9D-5B3CD3BFD175}" srcOrd="4" destOrd="0" presId="urn:microsoft.com/office/officeart/2005/8/layout/process2"/>
    <dgm:cxn modelId="{59E3F2E7-C04E-47DB-9C64-31DCD7BA9B16}" type="presParOf" srcId="{A8E3E83A-0081-43E7-BD4E-4F4813459EBF}" destId="{92930292-1A4E-4FEF-9B02-3A4826A142D0}" srcOrd="5" destOrd="0" presId="urn:microsoft.com/office/officeart/2005/8/layout/process2"/>
    <dgm:cxn modelId="{8D79A22C-D696-4C04-BEBD-88B4ADEFDF43}" type="presParOf" srcId="{92930292-1A4E-4FEF-9B02-3A4826A142D0}" destId="{164E3077-5D71-469D-8443-5159A2313C88}" srcOrd="0" destOrd="0" presId="urn:microsoft.com/office/officeart/2005/8/layout/process2"/>
    <dgm:cxn modelId="{76469495-AAAB-4975-827B-42FA738F35A0}" type="presParOf" srcId="{A8E3E83A-0081-43E7-BD4E-4F4813459EBF}" destId="{B727E059-D8C9-4169-8917-890F49AF59C0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57A61-1841-4DDF-AC22-C609B6B33DC7}">
      <dsp:nvSpPr>
        <dsp:cNvPr id="0" name=""/>
        <dsp:cNvSpPr/>
      </dsp:nvSpPr>
      <dsp:spPr>
        <a:xfrm>
          <a:off x="162428" y="1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Persiapan Teknis dan Administrasi</a:t>
          </a:r>
        </a:p>
      </dsp:txBody>
      <dsp:txXfrm>
        <a:off x="174357" y="11930"/>
        <a:ext cx="3960891" cy="383428"/>
      </dsp:txXfrm>
    </dsp:sp>
    <dsp:sp modelId="{64EE9659-FC92-4DD1-B048-B597302B676F}">
      <dsp:nvSpPr>
        <dsp:cNvPr id="0" name=""/>
        <dsp:cNvSpPr/>
      </dsp:nvSpPr>
      <dsp:spPr>
        <a:xfrm rot="5400000">
          <a:off x="2078027" y="418017"/>
          <a:ext cx="153552" cy="1832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099820" y="432880"/>
        <a:ext cx="109967" cy="107486"/>
      </dsp:txXfrm>
    </dsp:sp>
    <dsp:sp modelId="{C63E64D5-6951-4983-9498-1D690F7071D9}">
      <dsp:nvSpPr>
        <dsp:cNvPr id="0" name=""/>
        <dsp:cNvSpPr/>
      </dsp:nvSpPr>
      <dsp:spPr>
        <a:xfrm>
          <a:off x="162428" y="612025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Penyusunan</a:t>
          </a:r>
          <a:r>
            <a:rPr lang="en-US" sz="1100" kern="1200" baseline="0"/>
            <a:t> SOP, Instruksi Kerja (Formulir)</a:t>
          </a:r>
          <a:endParaRPr lang="en-US" sz="1100" kern="1200"/>
        </a:p>
      </dsp:txBody>
      <dsp:txXfrm>
        <a:off x="174357" y="623954"/>
        <a:ext cx="3960891" cy="383428"/>
      </dsp:txXfrm>
    </dsp:sp>
    <dsp:sp modelId="{26021B10-A8B6-4D96-9535-1A06EA2B0B02}">
      <dsp:nvSpPr>
        <dsp:cNvPr id="0" name=""/>
        <dsp:cNvSpPr/>
      </dsp:nvSpPr>
      <dsp:spPr>
        <a:xfrm rot="5400000">
          <a:off x="2078437" y="1029494"/>
          <a:ext cx="152732" cy="1832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099820" y="1044767"/>
        <a:ext cx="109967" cy="106912"/>
      </dsp:txXfrm>
    </dsp:sp>
    <dsp:sp modelId="{43454C58-D744-431C-8C9D-5B3CD3BFD175}">
      <dsp:nvSpPr>
        <dsp:cNvPr id="0" name=""/>
        <dsp:cNvSpPr/>
      </dsp:nvSpPr>
      <dsp:spPr>
        <a:xfrm>
          <a:off x="162428" y="1222955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Sosialisasi</a:t>
          </a:r>
          <a:r>
            <a:rPr lang="en-US" sz="1100" kern="1200" baseline="0"/>
            <a:t> Standar </a:t>
          </a:r>
          <a:r>
            <a:rPr lang="id-ID" sz="1100" kern="1200" baseline="0"/>
            <a:t>evaluasi kinerja</a:t>
          </a:r>
          <a:r>
            <a:rPr lang="en-US" sz="1100" kern="1200" baseline="0"/>
            <a:t>, SOP dan Formulir</a:t>
          </a:r>
          <a:endParaRPr lang="en-US" sz="1100" kern="1200"/>
        </a:p>
      </dsp:txBody>
      <dsp:txXfrm>
        <a:off x="174357" y="1234884"/>
        <a:ext cx="3960891" cy="383428"/>
      </dsp:txXfrm>
    </dsp:sp>
    <dsp:sp modelId="{92930292-1A4E-4FEF-9B02-3A4826A142D0}">
      <dsp:nvSpPr>
        <dsp:cNvPr id="0" name=""/>
        <dsp:cNvSpPr/>
      </dsp:nvSpPr>
      <dsp:spPr>
        <a:xfrm rot="5400000">
          <a:off x="2078437" y="1640424"/>
          <a:ext cx="152732" cy="1832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099820" y="1655697"/>
        <a:ext cx="109967" cy="106912"/>
      </dsp:txXfrm>
    </dsp:sp>
    <dsp:sp modelId="{B727E059-D8C9-4169-8917-890F49AF59C0}">
      <dsp:nvSpPr>
        <dsp:cNvPr id="0" name=""/>
        <dsp:cNvSpPr/>
      </dsp:nvSpPr>
      <dsp:spPr>
        <a:xfrm>
          <a:off x="162428" y="1833886"/>
          <a:ext cx="3984749" cy="407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Pelaksanaan / Pemenuhan Standar </a:t>
          </a:r>
          <a:r>
            <a:rPr lang="id-ID" sz="1100" kern="1200"/>
            <a:t>AIK</a:t>
          </a:r>
          <a:endParaRPr lang="en-US" sz="1100" kern="1200"/>
        </a:p>
      </dsp:txBody>
      <dsp:txXfrm>
        <a:off x="174357" y="1845815"/>
        <a:ext cx="3960891" cy="3834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57A61-1841-4DDF-AC22-C609B6B33DC7}">
      <dsp:nvSpPr>
        <dsp:cNvPr id="0" name=""/>
        <dsp:cNvSpPr/>
      </dsp:nvSpPr>
      <dsp:spPr>
        <a:xfrm>
          <a:off x="570612" y="1697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Monitoring dan Evaluasi</a:t>
          </a:r>
        </a:p>
      </dsp:txBody>
      <dsp:txXfrm>
        <a:off x="589108" y="20193"/>
        <a:ext cx="3241383" cy="594504"/>
      </dsp:txXfrm>
    </dsp:sp>
    <dsp:sp modelId="{64EE9659-FC92-4DD1-B048-B597302B676F}">
      <dsp:nvSpPr>
        <dsp:cNvPr id="0" name=""/>
        <dsp:cNvSpPr/>
      </dsp:nvSpPr>
      <dsp:spPr>
        <a:xfrm rot="5400000">
          <a:off x="2091394" y="648981"/>
          <a:ext cx="236811" cy="284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124549" y="672662"/>
        <a:ext cx="170503" cy="165768"/>
      </dsp:txXfrm>
    </dsp:sp>
    <dsp:sp modelId="{C63E64D5-6951-4983-9498-1D690F7071D9}">
      <dsp:nvSpPr>
        <dsp:cNvPr id="0" name=""/>
        <dsp:cNvSpPr/>
      </dsp:nvSpPr>
      <dsp:spPr>
        <a:xfrm>
          <a:off x="570612" y="948942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Pencatatan dan Pemeriksaan Pelaksanaan Standar &amp; Kelengkapan Dokumen </a:t>
          </a:r>
          <a:r>
            <a:rPr lang="id-ID" sz="1200" kern="1200"/>
            <a:t>standar AIK</a:t>
          </a:r>
          <a:endParaRPr lang="en-US" sz="1200" kern="1200"/>
        </a:p>
      </dsp:txBody>
      <dsp:txXfrm>
        <a:off x="589108" y="967438"/>
        <a:ext cx="3241383" cy="594504"/>
      </dsp:txXfrm>
    </dsp:sp>
    <dsp:sp modelId="{26021B10-A8B6-4D96-9535-1A06EA2B0B02}">
      <dsp:nvSpPr>
        <dsp:cNvPr id="0" name=""/>
        <dsp:cNvSpPr/>
      </dsp:nvSpPr>
      <dsp:spPr>
        <a:xfrm rot="5400000">
          <a:off x="2091394" y="1596225"/>
          <a:ext cx="236811" cy="284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124549" y="1619906"/>
        <a:ext cx="170503" cy="165768"/>
      </dsp:txXfrm>
    </dsp:sp>
    <dsp:sp modelId="{43454C58-D744-431C-8C9D-5B3CD3BFD175}">
      <dsp:nvSpPr>
        <dsp:cNvPr id="0" name=""/>
        <dsp:cNvSpPr/>
      </dsp:nvSpPr>
      <dsp:spPr>
        <a:xfrm>
          <a:off x="570612" y="1896186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Tindakan korektif terhadap setiap Penyimpangan Pelaksanaan Standar </a:t>
          </a:r>
          <a:r>
            <a:rPr lang="id-ID" sz="1200" kern="1200"/>
            <a:t>AIK</a:t>
          </a:r>
          <a:endParaRPr lang="en-US" sz="1200" kern="1200"/>
        </a:p>
      </dsp:txBody>
      <dsp:txXfrm>
        <a:off x="589108" y="1914682"/>
        <a:ext cx="3241383" cy="594504"/>
      </dsp:txXfrm>
    </dsp:sp>
    <dsp:sp modelId="{92930292-1A4E-4FEF-9B02-3A4826A142D0}">
      <dsp:nvSpPr>
        <dsp:cNvPr id="0" name=""/>
        <dsp:cNvSpPr/>
      </dsp:nvSpPr>
      <dsp:spPr>
        <a:xfrm rot="5400000">
          <a:off x="2091394" y="2543470"/>
          <a:ext cx="236811" cy="2841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124549" y="2567151"/>
        <a:ext cx="170503" cy="165768"/>
      </dsp:txXfrm>
    </dsp:sp>
    <dsp:sp modelId="{B727E059-D8C9-4169-8917-890F49AF59C0}">
      <dsp:nvSpPr>
        <dsp:cNvPr id="0" name=""/>
        <dsp:cNvSpPr/>
      </dsp:nvSpPr>
      <dsp:spPr>
        <a:xfrm>
          <a:off x="570612" y="2843431"/>
          <a:ext cx="3278375" cy="631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Pembuatan</a:t>
          </a:r>
          <a:r>
            <a:rPr lang="en-US" sz="1200" kern="1200" baseline="0"/>
            <a:t> Laporan</a:t>
          </a:r>
          <a:endParaRPr lang="en-US" sz="1200" kern="1200"/>
        </a:p>
      </dsp:txBody>
      <dsp:txXfrm>
        <a:off x="589108" y="2861927"/>
        <a:ext cx="3241383" cy="594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23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Nisya</cp:lastModifiedBy>
  <cp:revision>61</cp:revision>
  <dcterms:created xsi:type="dcterms:W3CDTF">2017-05-17T07:11:00Z</dcterms:created>
  <dcterms:modified xsi:type="dcterms:W3CDTF">2019-10-12T19:41:00Z</dcterms:modified>
</cp:coreProperties>
</file>